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2.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5.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97417182"/>
        <w:docPartObj>
          <w:docPartGallery w:val="Cover Pages"/>
          <w:docPartUnique/>
        </w:docPartObj>
      </w:sdtPr>
      <w:sdtContent>
        <w:p w14:paraId="7A70E552" w14:textId="7AA4FDD5" w:rsidR="00010375" w:rsidRPr="00CB687E" w:rsidRDefault="00010375"/>
        <w:p w14:paraId="707A8233" w14:textId="77777777" w:rsidR="009F6887" w:rsidRPr="00CB687E" w:rsidRDefault="009F6887">
          <w:pPr>
            <w:rPr>
              <w:rFonts w:asciiTheme="minorHAnsi" w:hAnsiTheme="minorHAnsi"/>
            </w:rPr>
          </w:pPr>
        </w:p>
        <w:p w14:paraId="42051F70" w14:textId="77777777" w:rsidR="009F6887" w:rsidRPr="00CB687E" w:rsidRDefault="009F6887">
          <w:pPr>
            <w:rPr>
              <w:rFonts w:asciiTheme="minorHAnsi" w:hAnsiTheme="minorHAnsi"/>
            </w:rPr>
          </w:pPr>
        </w:p>
        <w:p w14:paraId="18666E67" w14:textId="77777777" w:rsidR="009F6887" w:rsidRPr="00CB687E" w:rsidRDefault="009F6887">
          <w:pPr>
            <w:rPr>
              <w:rFonts w:asciiTheme="minorHAnsi" w:hAnsiTheme="minorHAnsi"/>
            </w:rPr>
          </w:pPr>
        </w:p>
        <w:p w14:paraId="60341983" w14:textId="756BF96F" w:rsidR="00010375" w:rsidRPr="00CB687E" w:rsidRDefault="009F6887">
          <w:r w:rsidRPr="0015063E">
            <w:rPr>
              <w:noProof/>
            </w:rPr>
            <w:drawing>
              <wp:anchor distT="0" distB="0" distL="114300" distR="114300" simplePos="0" relativeHeight="251641858" behindDoc="0" locked="1" layoutInCell="1" allowOverlap="1" wp14:anchorId="505AED4F" wp14:editId="42CEDC1A">
                <wp:simplePos x="0" y="0"/>
                <wp:positionH relativeFrom="margin">
                  <wp:posOffset>381635</wp:posOffset>
                </wp:positionH>
                <wp:positionV relativeFrom="page">
                  <wp:posOffset>8533130</wp:posOffset>
                </wp:positionV>
                <wp:extent cx="2455200" cy="604800"/>
                <wp:effectExtent l="0" t="0" r="2540" b="5080"/>
                <wp:wrapSquare wrapText="bothSides"/>
                <wp:docPr id="131846123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61239"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5200" cy="604800"/>
                        </a:xfrm>
                        <a:prstGeom prst="rect">
                          <a:avLst/>
                        </a:prstGeom>
                      </pic:spPr>
                    </pic:pic>
                  </a:graphicData>
                </a:graphic>
                <wp14:sizeRelH relativeFrom="margin">
                  <wp14:pctWidth>0</wp14:pctWidth>
                </wp14:sizeRelH>
                <wp14:sizeRelV relativeFrom="margin">
                  <wp14:pctHeight>0</wp14:pctHeight>
                </wp14:sizeRelV>
              </wp:anchor>
            </w:drawing>
          </w:r>
          <w:r w:rsidRPr="0015063E">
            <w:rPr>
              <w:noProof/>
            </w:rPr>
            <w:drawing>
              <wp:anchor distT="0" distB="0" distL="114300" distR="114300" simplePos="0" relativeHeight="251641857" behindDoc="0" locked="1" layoutInCell="1" allowOverlap="1" wp14:anchorId="513C476C" wp14:editId="2D831E19">
                <wp:simplePos x="914400" y="7162800"/>
                <wp:positionH relativeFrom="margin">
                  <wp:align>right</wp:align>
                </wp:positionH>
                <wp:positionV relativeFrom="margin">
                  <wp:align>bottom</wp:align>
                </wp:positionV>
                <wp:extent cx="1497600" cy="604800"/>
                <wp:effectExtent l="0" t="0" r="0" b="0"/>
                <wp:wrapSquare wrapText="bothSides"/>
                <wp:docPr id="188990274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02742" name="Picture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7600" cy="604800"/>
                        </a:xfrm>
                        <a:prstGeom prst="rect">
                          <a:avLst/>
                        </a:prstGeom>
                      </pic:spPr>
                    </pic:pic>
                  </a:graphicData>
                </a:graphic>
                <wp14:sizeRelH relativeFrom="margin">
                  <wp14:pctWidth>0</wp14:pctWidth>
                </wp14:sizeRelH>
                <wp14:sizeRelV relativeFrom="margin">
                  <wp14:pctHeight>0</wp14:pctHeight>
                </wp14:sizeRelV>
              </wp:anchor>
            </w:drawing>
          </w:r>
          <w:r w:rsidR="00010375" w:rsidRPr="0015063E">
            <w:rPr>
              <w:noProof/>
            </w:rPr>
            <mc:AlternateContent>
              <mc:Choice Requires="wps">
                <w:drawing>
                  <wp:anchor distT="0" distB="0" distL="182880" distR="182880" simplePos="0" relativeHeight="251641856" behindDoc="0" locked="1" layoutInCell="1" allowOverlap="1" wp14:anchorId="0BD049E2" wp14:editId="22C9A9C8">
                    <wp:simplePos x="0" y="0"/>
                    <wp:positionH relativeFrom="margin">
                      <wp:posOffset>521970</wp:posOffset>
                    </wp:positionH>
                    <wp:positionV relativeFrom="page">
                      <wp:posOffset>1663700</wp:posOffset>
                    </wp:positionV>
                    <wp:extent cx="6368400" cy="1908810"/>
                    <wp:effectExtent l="0" t="0" r="13970" b="1270"/>
                    <wp:wrapSquare wrapText="bothSides"/>
                    <wp:docPr id="131" name="Text Box 131"/>
                    <wp:cNvGraphicFramePr/>
                    <a:graphic xmlns:a="http://schemas.openxmlformats.org/drawingml/2006/main">
                      <a:graphicData uri="http://schemas.microsoft.com/office/word/2010/wordprocessingShape">
                        <wps:wsp>
                          <wps:cNvSpPr txBox="1"/>
                          <wps:spPr>
                            <a:xfrm>
                              <a:off x="0" y="0"/>
                              <a:ext cx="6368400" cy="1908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DEB65" w14:textId="2EE2689C" w:rsidR="00010375" w:rsidRPr="00CB687E" w:rsidRDefault="0019573B" w:rsidP="009F6887">
                                <w:pPr>
                                  <w:pStyle w:val="NoSpacing"/>
                                  <w:pBdr>
                                    <w:left w:val="single" w:sz="24" w:space="8" w:color="000000"/>
                                    <w:bottom w:val="single" w:sz="24" w:space="1" w:color="000000"/>
                                  </w:pBdr>
                                  <w:spacing w:before="40" w:line="216" w:lineRule="auto"/>
                                  <w:rPr>
                                    <w:color w:val="000000" w:themeColor="text1"/>
                                    <w:spacing w:val="60"/>
                                    <w:sz w:val="100"/>
                                    <w:szCs w:val="100"/>
                                    <w:lang w:val="en-CA"/>
                                  </w:rPr>
                                </w:pPr>
                                <w:r w:rsidRPr="00B74A3D">
                                  <w:rPr>
                                    <w:b/>
                                    <w:bCs/>
                                    <w:color w:val="000000" w:themeColor="text1"/>
                                    <w:spacing w:val="60"/>
                                    <w:sz w:val="100"/>
                                    <w:szCs w:val="100"/>
                                    <w:lang w:val="en-CA"/>
                                  </w:rPr>
                                  <w:t xml:space="preserve">HUMAN </w:t>
                                </w:r>
                                <w:r w:rsidR="009F6887" w:rsidRPr="00B74A3D">
                                  <w:rPr>
                                    <w:b/>
                                    <w:bCs/>
                                    <w:color w:val="000000" w:themeColor="text1"/>
                                    <w:spacing w:val="60"/>
                                    <w:sz w:val="100"/>
                                    <w:szCs w:val="100"/>
                                    <w:lang w:val="en-CA"/>
                                  </w:rPr>
                                  <w:t xml:space="preserve">        </w:t>
                                </w:r>
                                <w:r w:rsidRPr="00B74A3D">
                                  <w:rPr>
                                    <w:b/>
                                    <w:bCs/>
                                    <w:color w:val="000000" w:themeColor="text1"/>
                                    <w:spacing w:val="60"/>
                                    <w:sz w:val="100"/>
                                    <w:szCs w:val="100"/>
                                    <w:lang w:val="en-CA"/>
                                  </w:rPr>
                                  <w:t xml:space="preserve">RIGHTS </w:t>
                                </w:r>
                                <w:r w:rsidR="009F6887" w:rsidRPr="00B74A3D">
                                  <w:rPr>
                                    <w:b/>
                                    <w:bCs/>
                                    <w:color w:val="000000" w:themeColor="text1"/>
                                    <w:spacing w:val="60"/>
                                    <w:sz w:val="100"/>
                                    <w:szCs w:val="100"/>
                                    <w:lang w:val="en-CA"/>
                                  </w:rPr>
                                  <w:t xml:space="preserve">         </w:t>
                                </w:r>
                                <w:r w:rsidRPr="00B74A3D">
                                  <w:rPr>
                                    <w:b/>
                                    <w:bCs/>
                                    <w:color w:val="000000" w:themeColor="text1"/>
                                    <w:spacing w:val="60"/>
                                    <w:sz w:val="100"/>
                                    <w:szCs w:val="100"/>
                                    <w:lang w:val="en-CA"/>
                                  </w:rPr>
                                  <w:t xml:space="preserve">LEGAL </w:t>
                                </w:r>
                                <w:r w:rsidR="009F6887" w:rsidRPr="00B74A3D">
                                  <w:rPr>
                                    <w:b/>
                                    <w:bCs/>
                                    <w:color w:val="000000" w:themeColor="text1"/>
                                    <w:spacing w:val="60"/>
                                    <w:sz w:val="100"/>
                                    <w:szCs w:val="100"/>
                                    <w:lang w:val="en-CA"/>
                                  </w:rPr>
                                  <w:t xml:space="preserve">      </w:t>
                                </w:r>
                                <w:r w:rsidRPr="00B74A3D">
                                  <w:rPr>
                                    <w:b/>
                                    <w:bCs/>
                                    <w:color w:val="000000" w:themeColor="text1"/>
                                    <w:spacing w:val="60"/>
                                    <w:sz w:val="100"/>
                                    <w:szCs w:val="100"/>
                                    <w:lang w:val="en-CA"/>
                                  </w:rPr>
                                  <w:t xml:space="preserve">SUPPORT </w:t>
                                </w:r>
                                <w:r w:rsidR="009F6887" w:rsidRPr="00B74A3D">
                                  <w:rPr>
                                    <w:b/>
                                    <w:bCs/>
                                    <w:color w:val="000000" w:themeColor="text1"/>
                                    <w:spacing w:val="60"/>
                                    <w:sz w:val="100"/>
                                    <w:szCs w:val="100"/>
                                    <w:lang w:val="en-CA"/>
                                  </w:rPr>
                                  <w:t xml:space="preserve">    </w:t>
                                </w:r>
                                <w:r w:rsidRPr="00B74A3D">
                                  <w:rPr>
                                    <w:b/>
                                    <w:bCs/>
                                    <w:color w:val="000000" w:themeColor="text1"/>
                                    <w:spacing w:val="60"/>
                                    <w:sz w:val="100"/>
                                    <w:szCs w:val="100"/>
                                    <w:lang w:val="en-CA"/>
                                  </w:rPr>
                                  <w:t>CENTRE</w:t>
                                </w:r>
                              </w:p>
                              <w:bookmarkStart w:id="0" w:name="_Toc204090243" w:displacedByCustomXml="next"/>
                              <w:bookmarkStart w:id="1" w:name="_Toc202472395" w:displacedByCustomXml="next"/>
                              <w:bookmarkStart w:id="2" w:name="_Toc201324418" w:displacedByCustomXml="next"/>
                              <w:sdt>
                                <w:sdtPr>
                                  <w:rPr>
                                    <w:sz w:val="100"/>
                                    <w:szCs w:val="100"/>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13872A7E" w14:textId="3244B9C6" w:rsidR="00010375" w:rsidRPr="00CB687E" w:rsidRDefault="009B65A0" w:rsidP="005C79D8">
                                    <w:pPr>
                                      <w:pStyle w:val="Heading1"/>
                                      <w:spacing w:before="0" w:after="0"/>
                                      <w:rPr>
                                        <w:caps/>
                                        <w:color w:val="501549" w:themeColor="accent5" w:themeShade="80"/>
                                        <w:sz w:val="100"/>
                                        <w:szCs w:val="100"/>
                                      </w:rPr>
                                    </w:pPr>
                                    <w:r w:rsidRPr="009B65A0">
                                      <w:rPr>
                                        <w:sz w:val="100"/>
                                        <w:szCs w:val="100"/>
                                      </w:rPr>
                                      <w:t>Annual Report    2024–2025</w:t>
                                    </w:r>
                                  </w:p>
                                </w:sdtContent>
                              </w:sdt>
                              <w:bookmarkEnd w:id="0" w:displacedByCustomXml="prev"/>
                              <w:bookmarkEnd w:id="1" w:displacedByCustomXml="prev"/>
                              <w:bookmarkEnd w:id="2" w:displacedByCustomXml="prev"/>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0BD049E2" id="_x0000_t202" coordsize="21600,21600" o:spt="202" path="m,l,21600r21600,l21600,xe">
                    <v:stroke joinstyle="miter"/>
                    <v:path gradientshapeok="t" o:connecttype="rect"/>
                  </v:shapetype>
                  <v:shape id="Text Box 131" o:spid="_x0000_s1026" type="#_x0000_t202" style="position:absolute;margin-left:41.1pt;margin-top:131pt;width:501.45pt;height:150.3pt;z-index:251641856;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" filled="f" stroked="f" strokeweight=".5pt">
                    <v:textbox style="mso-fit-shape-to-text:t" inset="0,0,0,0">
                      <w:txbxContent>
                        <w:p w14:paraId="701DEB65" w14:textId="2EE2689C" w:rsidR="00010375" w:rsidRPr="00CB687E" w:rsidRDefault="0019573B" w:rsidP="009F6887">
                          <w:pPr>
                            <w:pStyle w:val="NoSpacing"/>
                            <w:pBdr>
                              <w:left w:val="single" w:sz="24" w:space="8" w:color="000000"/>
                              <w:bottom w:val="single" w:sz="24" w:space="1" w:color="000000"/>
                            </w:pBdr>
                            <w:spacing w:before="40" w:line="216" w:lineRule="auto"/>
                            <w:rPr>
                              <w:color w:val="000000" w:themeColor="text1"/>
                              <w:spacing w:val="60"/>
                              <w:sz w:val="100"/>
                              <w:szCs w:val="100"/>
                              <w:lang w:val="en-CA"/>
                            </w:rPr>
                          </w:pPr>
                          <w:r w:rsidRPr="00B74A3D">
                            <w:rPr>
                              <w:b/>
                              <w:bCs/>
                              <w:color w:val="000000" w:themeColor="text1"/>
                              <w:spacing w:val="60"/>
                              <w:sz w:val="100"/>
                              <w:szCs w:val="100"/>
                              <w:lang w:val="en-CA"/>
                            </w:rPr>
                            <w:t xml:space="preserve">HUMAN </w:t>
                          </w:r>
                          <w:r w:rsidR="009F6887" w:rsidRPr="00B74A3D">
                            <w:rPr>
                              <w:b/>
                              <w:bCs/>
                              <w:color w:val="000000" w:themeColor="text1"/>
                              <w:spacing w:val="60"/>
                              <w:sz w:val="100"/>
                              <w:szCs w:val="100"/>
                              <w:lang w:val="en-CA"/>
                            </w:rPr>
                            <w:t xml:space="preserve">        </w:t>
                          </w:r>
                          <w:r w:rsidRPr="00B74A3D">
                            <w:rPr>
                              <w:b/>
                              <w:bCs/>
                              <w:color w:val="000000" w:themeColor="text1"/>
                              <w:spacing w:val="60"/>
                              <w:sz w:val="100"/>
                              <w:szCs w:val="100"/>
                              <w:lang w:val="en-CA"/>
                            </w:rPr>
                            <w:t xml:space="preserve">RIGHTS </w:t>
                          </w:r>
                          <w:r w:rsidR="009F6887" w:rsidRPr="00B74A3D">
                            <w:rPr>
                              <w:b/>
                              <w:bCs/>
                              <w:color w:val="000000" w:themeColor="text1"/>
                              <w:spacing w:val="60"/>
                              <w:sz w:val="100"/>
                              <w:szCs w:val="100"/>
                              <w:lang w:val="en-CA"/>
                            </w:rPr>
                            <w:t xml:space="preserve">         </w:t>
                          </w:r>
                          <w:r w:rsidRPr="00B74A3D">
                            <w:rPr>
                              <w:b/>
                              <w:bCs/>
                              <w:color w:val="000000" w:themeColor="text1"/>
                              <w:spacing w:val="60"/>
                              <w:sz w:val="100"/>
                              <w:szCs w:val="100"/>
                              <w:lang w:val="en-CA"/>
                            </w:rPr>
                            <w:t xml:space="preserve">LEGAL </w:t>
                          </w:r>
                          <w:r w:rsidR="009F6887" w:rsidRPr="00B74A3D">
                            <w:rPr>
                              <w:b/>
                              <w:bCs/>
                              <w:color w:val="000000" w:themeColor="text1"/>
                              <w:spacing w:val="60"/>
                              <w:sz w:val="100"/>
                              <w:szCs w:val="100"/>
                              <w:lang w:val="en-CA"/>
                            </w:rPr>
                            <w:t xml:space="preserve">      </w:t>
                          </w:r>
                          <w:r w:rsidRPr="00B74A3D">
                            <w:rPr>
                              <w:b/>
                              <w:bCs/>
                              <w:color w:val="000000" w:themeColor="text1"/>
                              <w:spacing w:val="60"/>
                              <w:sz w:val="100"/>
                              <w:szCs w:val="100"/>
                              <w:lang w:val="en-CA"/>
                            </w:rPr>
                            <w:t xml:space="preserve">SUPPORT </w:t>
                          </w:r>
                          <w:r w:rsidR="009F6887" w:rsidRPr="00B74A3D">
                            <w:rPr>
                              <w:b/>
                              <w:bCs/>
                              <w:color w:val="000000" w:themeColor="text1"/>
                              <w:spacing w:val="60"/>
                              <w:sz w:val="100"/>
                              <w:szCs w:val="100"/>
                              <w:lang w:val="en-CA"/>
                            </w:rPr>
                            <w:t xml:space="preserve">    </w:t>
                          </w:r>
                          <w:r w:rsidRPr="00B74A3D">
                            <w:rPr>
                              <w:b/>
                              <w:bCs/>
                              <w:color w:val="000000" w:themeColor="text1"/>
                              <w:spacing w:val="60"/>
                              <w:sz w:val="100"/>
                              <w:szCs w:val="100"/>
                              <w:lang w:val="en-CA"/>
                            </w:rPr>
                            <w:t>CENTRE</w:t>
                          </w:r>
                        </w:p>
                        <w:bookmarkStart w:id="3" w:name="_Toc204090243" w:displacedByCustomXml="next"/>
                        <w:bookmarkStart w:id="4" w:name="_Toc202472395" w:displacedByCustomXml="next"/>
                        <w:bookmarkStart w:id="5" w:name="_Toc201324418" w:displacedByCustomXml="next"/>
                        <w:sdt>
                          <w:sdtPr>
                            <w:rPr>
                              <w:sz w:val="100"/>
                              <w:szCs w:val="100"/>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13872A7E" w14:textId="3244B9C6" w:rsidR="00010375" w:rsidRPr="00CB687E" w:rsidRDefault="009B65A0" w:rsidP="005C79D8">
                              <w:pPr>
                                <w:pStyle w:val="Heading1"/>
                                <w:spacing w:before="0" w:after="0"/>
                                <w:rPr>
                                  <w:caps/>
                                  <w:color w:val="501549" w:themeColor="accent5" w:themeShade="80"/>
                                  <w:sz w:val="100"/>
                                  <w:szCs w:val="100"/>
                                </w:rPr>
                              </w:pPr>
                              <w:r w:rsidRPr="009B65A0">
                                <w:rPr>
                                  <w:sz w:val="100"/>
                                  <w:szCs w:val="100"/>
                                </w:rPr>
                                <w:t>Annual Report    2024–2025</w:t>
                              </w:r>
                            </w:p>
                          </w:sdtContent>
                        </w:sdt>
                        <w:bookmarkEnd w:id="3" w:displacedByCustomXml="prev"/>
                        <w:bookmarkEnd w:id="4" w:displacedByCustomXml="prev"/>
                        <w:bookmarkEnd w:id="5" w:displacedByCustomXml="prev"/>
                      </w:txbxContent>
                    </v:textbox>
                    <w10:wrap type="square" anchorx="margin" anchory="page"/>
                    <w10:anchorlock/>
                  </v:shape>
                </w:pict>
              </mc:Fallback>
            </mc:AlternateContent>
          </w:r>
          <w:r w:rsidR="00010375" w:rsidRPr="00CB687E">
            <w:rPr>
              <w:rFonts w:asciiTheme="minorHAnsi" w:hAnsiTheme="minorHAnsi"/>
            </w:rPr>
            <w:br w:type="page"/>
          </w:r>
        </w:p>
      </w:sdtContent>
    </w:sdt>
    <w:p w14:paraId="7518B880" w14:textId="21A8B4FD" w:rsidR="00802B42" w:rsidRPr="00CB687E" w:rsidRDefault="00FD6AFA" w:rsidP="00FD6AFA">
      <w:pPr>
        <w:pStyle w:val="Heading1"/>
      </w:pPr>
      <w:bookmarkStart w:id="6" w:name="_Toc204090244"/>
      <w:r w:rsidRPr="00CB687E">
        <w:lastRenderedPageBreak/>
        <w:t>Land Acknowledgement</w:t>
      </w:r>
      <w:bookmarkEnd w:id="6"/>
    </w:p>
    <w:p w14:paraId="10A8E13F" w14:textId="7C62E7D4" w:rsidR="00FD6AFA" w:rsidRPr="00CB687E" w:rsidRDefault="00FD6AFA" w:rsidP="00FD6AFA">
      <w:r w:rsidRPr="00CB687E">
        <w:t>The Human Rights Legal Support Centre</w:t>
      </w:r>
      <w:r w:rsidR="00264DDE" w:rsidRPr="008D3E5A">
        <w:t xml:space="preserve"> (HRLSC</w:t>
      </w:r>
      <w:r w:rsidR="00264DDE" w:rsidRPr="00CB687E">
        <w:t>)</w:t>
      </w:r>
      <w:r w:rsidRPr="00CB687E">
        <w:t xml:space="preserve"> provides services throughout Ontario and operates from its central office in Toronto. Accordingly, we acknowledge our presence on the traditional territories of the Wendat, the Haudenosaunee, and Anishinaabeg, Attawandaron and Leni-Lunaape, the Mushkegowuk and particularly the Mississaugas of the Credit First Nation, as well as the 46 treaties and other agreements that cover the territory now called Ontario. This place is home to many diverse First Nations, Inuit, and Metis peoples from across Turtle Island and we are grateful to have the opportunity to work and operate on this land.</w:t>
      </w:r>
    </w:p>
    <w:p w14:paraId="39D5DFDD" w14:textId="7B0230D7" w:rsidR="001E2278" w:rsidRPr="00CB687E" w:rsidRDefault="00FD6AFA" w:rsidP="00FD6AFA">
      <w:r w:rsidRPr="00CB687E">
        <w:t>The HRLSC also recognizes and acknowledges that we are in the territory subject to the Dish With One Spoon Wampum Belt Covenant, an agreement between the Haudenosaunee Confederacy, the Anishinaabeg and allied nations to peaceably share and care for the land and waters of the Great Lakes region.</w:t>
      </w:r>
    </w:p>
    <w:p w14:paraId="1E18A7B6" w14:textId="12D809E8" w:rsidR="001E2278" w:rsidRPr="00CB687E" w:rsidRDefault="00396E1F">
      <w:r>
        <w:rPr>
          <w:noProof/>
        </w:rPr>
        <mc:AlternateContent>
          <mc:Choice Requires="wps">
            <w:drawing>
              <wp:anchor distT="91440" distB="91440" distL="114300" distR="114300" simplePos="0" relativeHeight="251699204" behindDoc="0" locked="0" layoutInCell="1" allowOverlap="1" wp14:anchorId="001A98BB" wp14:editId="57B3A89A">
                <wp:simplePos x="0" y="0"/>
                <wp:positionH relativeFrom="margin">
                  <wp:posOffset>27940</wp:posOffset>
                </wp:positionH>
                <wp:positionV relativeFrom="margin">
                  <wp:posOffset>6734175</wp:posOffset>
                </wp:positionV>
                <wp:extent cx="5953125" cy="1403985"/>
                <wp:effectExtent l="0" t="0" r="0" b="0"/>
                <wp:wrapSquare wrapText="bothSides"/>
                <wp:docPr id="1989311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3985"/>
                        </a:xfrm>
                        <a:prstGeom prst="rect">
                          <a:avLst/>
                        </a:prstGeom>
                        <a:noFill/>
                        <a:ln w="9525">
                          <a:noFill/>
                          <a:miter lim="800000"/>
                          <a:headEnd/>
                          <a:tailEnd/>
                        </a:ln>
                      </wps:spPr>
                      <wps:txbx>
                        <w:txbxContent>
                          <w:p w14:paraId="0736AE47" w14:textId="11A06B9C" w:rsidR="00396E1F" w:rsidRPr="00396E1F" w:rsidRDefault="00F60A35" w:rsidP="00396E1F">
                            <w:pPr>
                              <w:pBdr>
                                <w:top w:val="single" w:sz="24" w:space="8" w:color="156082" w:themeColor="accent1"/>
                                <w:bottom w:val="single" w:sz="24" w:space="8" w:color="156082" w:themeColor="accent1"/>
                              </w:pBdr>
                              <w:rPr>
                                <w:i/>
                                <w:iCs/>
                                <w:color w:val="156082" w:themeColor="accent1"/>
                                <w:sz w:val="32"/>
                                <w:szCs w:val="32"/>
                                <w:lang w:val="en-US"/>
                              </w:rPr>
                            </w:pPr>
                            <w:r>
                              <w:rPr>
                                <w:i/>
                                <w:iCs/>
                                <w:color w:val="156082" w:themeColor="accent1"/>
                                <w:sz w:val="32"/>
                                <w:szCs w:val="32"/>
                                <w:lang w:val="en-US"/>
                              </w:rPr>
                              <w:t>’’</w:t>
                            </w:r>
                            <w:r w:rsidR="00396E1F" w:rsidRPr="00872957">
                              <w:rPr>
                                <w:i/>
                                <w:iCs/>
                                <w:color w:val="156082" w:themeColor="accent1"/>
                                <w:sz w:val="32"/>
                                <w:szCs w:val="32"/>
                                <w:lang w:val="en-US"/>
                              </w:rPr>
                              <w:t>Thank you. I do appreciate the work you do. It's life changing for the clients.”</w:t>
                            </w:r>
                          </w:p>
                          <w:p w14:paraId="57C89715" w14:textId="77777777" w:rsidR="00396E1F" w:rsidRPr="00396E1F" w:rsidRDefault="00396E1F" w:rsidP="00396E1F">
                            <w:pPr>
                              <w:pBdr>
                                <w:top w:val="single" w:sz="24" w:space="8" w:color="156082" w:themeColor="accent1"/>
                                <w:bottom w:val="single" w:sz="24" w:space="8" w:color="156082" w:themeColor="accent1"/>
                              </w:pBdr>
                              <w:spacing w:after="0"/>
                              <w:rPr>
                                <w:i/>
                                <w:iCs/>
                                <w:color w:val="156082" w:themeColor="accent1"/>
                                <w:sz w:val="32"/>
                                <w:szCs w:val="32"/>
                                <w:lang w:val="en-US"/>
                              </w:rPr>
                            </w:pPr>
                            <w:r w:rsidRPr="00872957">
                              <w:rPr>
                                <w:i/>
                                <w:iCs/>
                                <w:color w:val="156082" w:themeColor="accent1"/>
                                <w:sz w:val="32"/>
                                <w:szCs w:val="32"/>
                                <w:lang w:val="en-US"/>
                              </w:rPr>
                              <w:t>– HRLSC Client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1A98BB" id="Text Box 2" o:spid="_x0000_s1027" type="#_x0000_t202" style="position:absolute;margin-left:2.2pt;margin-top:530.25pt;width:468.75pt;height:110.55pt;z-index:25169920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" filled="f" stroked="f">
                <v:textbox style="mso-fit-shape-to-text:t">
                  <w:txbxContent>
                    <w:p w14:paraId="0736AE47" w14:textId="11A06B9C" w:rsidR="00396E1F" w:rsidRPr="00396E1F" w:rsidRDefault="00F60A35" w:rsidP="00396E1F">
                      <w:pPr>
                        <w:pBdr>
                          <w:top w:val="single" w:sz="24" w:space="8" w:color="156082" w:themeColor="accent1"/>
                          <w:bottom w:val="single" w:sz="24" w:space="8" w:color="156082" w:themeColor="accent1"/>
                        </w:pBdr>
                        <w:rPr>
                          <w:i/>
                          <w:iCs/>
                          <w:color w:val="156082" w:themeColor="accent1"/>
                          <w:sz w:val="32"/>
                          <w:szCs w:val="32"/>
                          <w:lang w:val="en-US"/>
                        </w:rPr>
                      </w:pPr>
                      <w:r>
                        <w:rPr>
                          <w:i/>
                          <w:iCs/>
                          <w:color w:val="156082" w:themeColor="accent1"/>
                          <w:sz w:val="32"/>
                          <w:szCs w:val="32"/>
                          <w:lang w:val="en-US"/>
                        </w:rPr>
                        <w:t>’’</w:t>
                      </w:r>
                      <w:r w:rsidR="00396E1F" w:rsidRPr="00872957">
                        <w:rPr>
                          <w:i/>
                          <w:iCs/>
                          <w:color w:val="156082" w:themeColor="accent1"/>
                          <w:sz w:val="32"/>
                          <w:szCs w:val="32"/>
                          <w:lang w:val="en-US"/>
                        </w:rPr>
                        <w:t>Thank you. I do appreciate the work you do. It's life changing for the clients.”</w:t>
                      </w:r>
                    </w:p>
                    <w:p w14:paraId="57C89715" w14:textId="77777777" w:rsidR="00396E1F" w:rsidRPr="00396E1F" w:rsidRDefault="00396E1F" w:rsidP="00396E1F">
                      <w:pPr>
                        <w:pBdr>
                          <w:top w:val="single" w:sz="24" w:space="8" w:color="156082" w:themeColor="accent1"/>
                          <w:bottom w:val="single" w:sz="24" w:space="8" w:color="156082" w:themeColor="accent1"/>
                        </w:pBdr>
                        <w:spacing w:after="0"/>
                        <w:rPr>
                          <w:i/>
                          <w:iCs/>
                          <w:color w:val="156082" w:themeColor="accent1"/>
                          <w:sz w:val="32"/>
                          <w:szCs w:val="32"/>
                          <w:lang w:val="en-US"/>
                        </w:rPr>
                      </w:pPr>
                      <w:r w:rsidRPr="00872957">
                        <w:rPr>
                          <w:i/>
                          <w:iCs/>
                          <w:color w:val="156082" w:themeColor="accent1"/>
                          <w:sz w:val="32"/>
                          <w:szCs w:val="32"/>
                          <w:lang w:val="en-US"/>
                        </w:rPr>
                        <w:t>– HRLSC Client</w:t>
                      </w:r>
                    </w:p>
                  </w:txbxContent>
                </v:textbox>
                <w10:wrap type="square" anchorx="margin" anchory="margin"/>
              </v:shape>
            </w:pict>
          </mc:Fallback>
        </mc:AlternateContent>
      </w:r>
      <w:r w:rsidR="001E2278" w:rsidRPr="00CB687E">
        <w:br w:type="page"/>
      </w:r>
    </w:p>
    <w:sdt>
      <w:sdtPr>
        <w:rPr>
          <w:rFonts w:eastAsiaTheme="minorHAnsi" w:cstheme="minorBidi"/>
          <w:color w:val="auto"/>
          <w:kern w:val="2"/>
          <w:sz w:val="24"/>
          <w:szCs w:val="24"/>
          <w14:textOutline w14:w="0" w14:cap="rnd" w14:cmpd="sng" w14:algn="ctr">
            <w14:noFill/>
            <w14:prstDash w14:val="solid"/>
            <w14:bevel/>
          </w14:textOutline>
          <w14:ligatures w14:val="standardContextual"/>
        </w:rPr>
        <w:id w:val="407277280"/>
        <w:docPartObj>
          <w:docPartGallery w:val="Table of Contents"/>
          <w:docPartUnique/>
        </w:docPartObj>
      </w:sdtPr>
      <w:sdtEndPr>
        <w:rPr>
          <w:b/>
          <w:bCs/>
          <w:noProof/>
        </w:rPr>
      </w:sdtEndPr>
      <w:sdtContent>
        <w:p w14:paraId="41D94C85" w14:textId="5F3EED53" w:rsidR="00DD5A08" w:rsidRDefault="00DD5A08">
          <w:pPr>
            <w:pStyle w:val="TOCHeading"/>
          </w:pPr>
          <w:r>
            <w:t>Table of Contents</w:t>
          </w:r>
        </w:p>
        <w:p w14:paraId="510CA094" w14:textId="7874561F" w:rsidR="00DA4786" w:rsidRDefault="00DD5A08">
          <w:pPr>
            <w:pStyle w:val="TOC1"/>
            <w:rPr>
              <w:rFonts w:asciiTheme="minorHAnsi" w:eastAsiaTheme="minorEastAsia" w:hAnsiTheme="minorHAnsi"/>
              <w:noProof/>
              <w:lang w:eastAsia="en-CA"/>
            </w:rPr>
          </w:pPr>
          <w:r>
            <w:fldChar w:fldCharType="begin"/>
          </w:r>
          <w:r>
            <w:instrText xml:space="preserve"> TOC \o "1-3" \h \z \u </w:instrText>
          </w:r>
          <w:r>
            <w:fldChar w:fldCharType="separate"/>
          </w:r>
          <w:hyperlink w:anchor="_Toc204090244" w:history="1">
            <w:r w:rsidR="00DA4786" w:rsidRPr="000362B6">
              <w:rPr>
                <w:rStyle w:val="Hyperlink"/>
                <w:noProof/>
              </w:rPr>
              <w:t>Land Acknowledgement</w:t>
            </w:r>
            <w:r w:rsidR="00DA4786">
              <w:rPr>
                <w:noProof/>
                <w:webHidden/>
              </w:rPr>
              <w:tab/>
            </w:r>
            <w:r w:rsidR="00DA4786">
              <w:rPr>
                <w:noProof/>
                <w:webHidden/>
              </w:rPr>
              <w:fldChar w:fldCharType="begin"/>
            </w:r>
            <w:r w:rsidR="00DA4786">
              <w:rPr>
                <w:noProof/>
                <w:webHidden/>
              </w:rPr>
              <w:instrText xml:space="preserve"> PAGEREF _Toc204090244 \h </w:instrText>
            </w:r>
            <w:r w:rsidR="00DA4786">
              <w:rPr>
                <w:noProof/>
                <w:webHidden/>
              </w:rPr>
            </w:r>
            <w:r w:rsidR="00DA4786">
              <w:rPr>
                <w:noProof/>
                <w:webHidden/>
              </w:rPr>
              <w:fldChar w:fldCharType="separate"/>
            </w:r>
            <w:r w:rsidR="004C0EA8">
              <w:rPr>
                <w:noProof/>
                <w:webHidden/>
              </w:rPr>
              <w:t>i</w:t>
            </w:r>
            <w:r w:rsidR="00DA4786">
              <w:rPr>
                <w:noProof/>
                <w:webHidden/>
              </w:rPr>
              <w:fldChar w:fldCharType="end"/>
            </w:r>
          </w:hyperlink>
        </w:p>
        <w:p w14:paraId="6C7924D4" w14:textId="429CDA8C" w:rsidR="00DA4786" w:rsidRDefault="00DA4786">
          <w:pPr>
            <w:pStyle w:val="TOC1"/>
            <w:tabs>
              <w:tab w:val="left" w:pos="480"/>
            </w:tabs>
            <w:rPr>
              <w:rFonts w:asciiTheme="minorHAnsi" w:eastAsiaTheme="minorEastAsia" w:hAnsiTheme="minorHAnsi"/>
              <w:noProof/>
              <w:lang w:eastAsia="en-CA"/>
            </w:rPr>
          </w:pPr>
          <w:hyperlink w:anchor="_Toc204090245" w:history="1">
            <w:r w:rsidRPr="000362B6">
              <w:rPr>
                <w:rStyle w:val="Hyperlink"/>
                <w:noProof/>
              </w:rPr>
              <w:t>1.</w:t>
            </w:r>
            <w:r>
              <w:rPr>
                <w:rFonts w:asciiTheme="minorHAnsi" w:eastAsiaTheme="minorEastAsia" w:hAnsiTheme="minorHAnsi"/>
                <w:noProof/>
                <w:lang w:eastAsia="en-CA"/>
              </w:rPr>
              <w:tab/>
            </w:r>
            <w:r w:rsidRPr="000362B6">
              <w:rPr>
                <w:rStyle w:val="Hyperlink"/>
                <w:noProof/>
              </w:rPr>
              <w:t>Opening Messages</w:t>
            </w:r>
            <w:r>
              <w:rPr>
                <w:noProof/>
                <w:webHidden/>
              </w:rPr>
              <w:tab/>
            </w:r>
            <w:r>
              <w:rPr>
                <w:noProof/>
                <w:webHidden/>
              </w:rPr>
              <w:fldChar w:fldCharType="begin"/>
            </w:r>
            <w:r>
              <w:rPr>
                <w:noProof/>
                <w:webHidden/>
              </w:rPr>
              <w:instrText xml:space="preserve"> PAGEREF _Toc204090245 \h </w:instrText>
            </w:r>
            <w:r>
              <w:rPr>
                <w:noProof/>
                <w:webHidden/>
              </w:rPr>
            </w:r>
            <w:r>
              <w:rPr>
                <w:noProof/>
                <w:webHidden/>
              </w:rPr>
              <w:fldChar w:fldCharType="separate"/>
            </w:r>
            <w:r w:rsidR="004C0EA8">
              <w:rPr>
                <w:noProof/>
                <w:webHidden/>
              </w:rPr>
              <w:t>1</w:t>
            </w:r>
            <w:r>
              <w:rPr>
                <w:noProof/>
                <w:webHidden/>
              </w:rPr>
              <w:fldChar w:fldCharType="end"/>
            </w:r>
          </w:hyperlink>
        </w:p>
        <w:p w14:paraId="7E86DBC3" w14:textId="3B19FD2D" w:rsidR="00DA4786" w:rsidRDefault="00DA4786">
          <w:pPr>
            <w:pStyle w:val="TOC2"/>
            <w:tabs>
              <w:tab w:val="right" w:leader="dot" w:pos="9350"/>
            </w:tabs>
            <w:rPr>
              <w:rFonts w:asciiTheme="minorHAnsi" w:eastAsiaTheme="minorEastAsia" w:hAnsiTheme="minorHAnsi"/>
              <w:noProof/>
              <w:lang w:eastAsia="en-CA"/>
            </w:rPr>
          </w:pPr>
          <w:hyperlink w:anchor="_Toc204090246" w:history="1">
            <w:r w:rsidRPr="000362B6">
              <w:rPr>
                <w:rStyle w:val="Hyperlink"/>
                <w:noProof/>
              </w:rPr>
              <w:t>Message from our Chair</w:t>
            </w:r>
            <w:r>
              <w:rPr>
                <w:noProof/>
                <w:webHidden/>
              </w:rPr>
              <w:tab/>
            </w:r>
            <w:r>
              <w:rPr>
                <w:noProof/>
                <w:webHidden/>
              </w:rPr>
              <w:fldChar w:fldCharType="begin"/>
            </w:r>
            <w:r>
              <w:rPr>
                <w:noProof/>
                <w:webHidden/>
              </w:rPr>
              <w:instrText xml:space="preserve"> PAGEREF _Toc204090246 \h </w:instrText>
            </w:r>
            <w:r>
              <w:rPr>
                <w:noProof/>
                <w:webHidden/>
              </w:rPr>
            </w:r>
            <w:r>
              <w:rPr>
                <w:noProof/>
                <w:webHidden/>
              </w:rPr>
              <w:fldChar w:fldCharType="separate"/>
            </w:r>
            <w:r w:rsidR="004C0EA8">
              <w:rPr>
                <w:noProof/>
                <w:webHidden/>
              </w:rPr>
              <w:t>1</w:t>
            </w:r>
            <w:r>
              <w:rPr>
                <w:noProof/>
                <w:webHidden/>
              </w:rPr>
              <w:fldChar w:fldCharType="end"/>
            </w:r>
          </w:hyperlink>
        </w:p>
        <w:p w14:paraId="16A9C6B2" w14:textId="3229D4AC" w:rsidR="00DA4786" w:rsidRDefault="00DA4786">
          <w:pPr>
            <w:pStyle w:val="TOC2"/>
            <w:tabs>
              <w:tab w:val="right" w:leader="dot" w:pos="9350"/>
            </w:tabs>
            <w:rPr>
              <w:rFonts w:asciiTheme="minorHAnsi" w:eastAsiaTheme="minorEastAsia" w:hAnsiTheme="minorHAnsi"/>
              <w:noProof/>
              <w:lang w:eastAsia="en-CA"/>
            </w:rPr>
          </w:pPr>
          <w:hyperlink w:anchor="_Toc204090247" w:history="1">
            <w:r w:rsidRPr="000362B6">
              <w:rPr>
                <w:rStyle w:val="Hyperlink"/>
                <w:noProof/>
              </w:rPr>
              <w:t>Message from our Executive Director</w:t>
            </w:r>
            <w:r>
              <w:rPr>
                <w:noProof/>
                <w:webHidden/>
              </w:rPr>
              <w:tab/>
            </w:r>
            <w:r>
              <w:rPr>
                <w:noProof/>
                <w:webHidden/>
              </w:rPr>
              <w:fldChar w:fldCharType="begin"/>
            </w:r>
            <w:r>
              <w:rPr>
                <w:noProof/>
                <w:webHidden/>
              </w:rPr>
              <w:instrText xml:space="preserve"> PAGEREF _Toc204090247 \h </w:instrText>
            </w:r>
            <w:r>
              <w:rPr>
                <w:noProof/>
                <w:webHidden/>
              </w:rPr>
            </w:r>
            <w:r>
              <w:rPr>
                <w:noProof/>
                <w:webHidden/>
              </w:rPr>
              <w:fldChar w:fldCharType="separate"/>
            </w:r>
            <w:r w:rsidR="004C0EA8">
              <w:rPr>
                <w:noProof/>
                <w:webHidden/>
              </w:rPr>
              <w:t>3</w:t>
            </w:r>
            <w:r>
              <w:rPr>
                <w:noProof/>
                <w:webHidden/>
              </w:rPr>
              <w:fldChar w:fldCharType="end"/>
            </w:r>
          </w:hyperlink>
        </w:p>
        <w:p w14:paraId="0A386213" w14:textId="24A4512C" w:rsidR="00DA4786" w:rsidRDefault="00DA4786">
          <w:pPr>
            <w:pStyle w:val="TOC1"/>
            <w:tabs>
              <w:tab w:val="left" w:pos="480"/>
            </w:tabs>
            <w:rPr>
              <w:rFonts w:asciiTheme="minorHAnsi" w:eastAsiaTheme="minorEastAsia" w:hAnsiTheme="minorHAnsi"/>
              <w:noProof/>
              <w:lang w:eastAsia="en-CA"/>
            </w:rPr>
          </w:pPr>
          <w:hyperlink w:anchor="_Toc204090248" w:history="1">
            <w:r w:rsidRPr="000362B6">
              <w:rPr>
                <w:rStyle w:val="Hyperlink"/>
                <w:noProof/>
              </w:rPr>
              <w:t>2.</w:t>
            </w:r>
            <w:r>
              <w:rPr>
                <w:rFonts w:asciiTheme="minorHAnsi" w:eastAsiaTheme="minorEastAsia" w:hAnsiTheme="minorHAnsi"/>
                <w:noProof/>
                <w:lang w:eastAsia="en-CA"/>
              </w:rPr>
              <w:tab/>
            </w:r>
            <w:r w:rsidRPr="000362B6">
              <w:rPr>
                <w:rStyle w:val="Hyperlink"/>
                <w:noProof/>
              </w:rPr>
              <w:t>Summary of Mandate and Services</w:t>
            </w:r>
            <w:r>
              <w:rPr>
                <w:noProof/>
                <w:webHidden/>
              </w:rPr>
              <w:tab/>
            </w:r>
            <w:r>
              <w:rPr>
                <w:noProof/>
                <w:webHidden/>
              </w:rPr>
              <w:fldChar w:fldCharType="begin"/>
            </w:r>
            <w:r>
              <w:rPr>
                <w:noProof/>
                <w:webHidden/>
              </w:rPr>
              <w:instrText xml:space="preserve"> PAGEREF _Toc204090248 \h </w:instrText>
            </w:r>
            <w:r>
              <w:rPr>
                <w:noProof/>
                <w:webHidden/>
              </w:rPr>
            </w:r>
            <w:r>
              <w:rPr>
                <w:noProof/>
                <w:webHidden/>
              </w:rPr>
              <w:fldChar w:fldCharType="separate"/>
            </w:r>
            <w:r w:rsidR="004C0EA8">
              <w:rPr>
                <w:noProof/>
                <w:webHidden/>
              </w:rPr>
              <w:t>5</w:t>
            </w:r>
            <w:r>
              <w:rPr>
                <w:noProof/>
                <w:webHidden/>
              </w:rPr>
              <w:fldChar w:fldCharType="end"/>
            </w:r>
          </w:hyperlink>
        </w:p>
        <w:p w14:paraId="30172A5A" w14:textId="52C59085" w:rsidR="00DA4786" w:rsidRDefault="00DA4786">
          <w:pPr>
            <w:pStyle w:val="TOC2"/>
            <w:tabs>
              <w:tab w:val="right" w:leader="dot" w:pos="9350"/>
            </w:tabs>
            <w:rPr>
              <w:rFonts w:asciiTheme="minorHAnsi" w:eastAsiaTheme="minorEastAsia" w:hAnsiTheme="minorHAnsi"/>
              <w:noProof/>
              <w:lang w:eastAsia="en-CA"/>
            </w:rPr>
          </w:pPr>
          <w:hyperlink w:anchor="_Toc204090249" w:history="1">
            <w:r w:rsidRPr="000362B6">
              <w:rPr>
                <w:rStyle w:val="Hyperlink"/>
                <w:noProof/>
              </w:rPr>
              <w:t>2.1</w:t>
            </w:r>
            <w:r w:rsidRPr="000362B6">
              <w:rPr>
                <w:rStyle w:val="Hyperlink"/>
                <w:i/>
                <w:iCs/>
                <w:noProof/>
              </w:rPr>
              <w:t xml:space="preserve"> Code</w:t>
            </w:r>
            <w:r w:rsidRPr="000362B6">
              <w:rPr>
                <w:rStyle w:val="Hyperlink"/>
                <w:noProof/>
              </w:rPr>
              <w:t>-related Discrimination:</w:t>
            </w:r>
            <w:r>
              <w:rPr>
                <w:noProof/>
                <w:webHidden/>
              </w:rPr>
              <w:tab/>
            </w:r>
            <w:r>
              <w:rPr>
                <w:noProof/>
                <w:webHidden/>
              </w:rPr>
              <w:fldChar w:fldCharType="begin"/>
            </w:r>
            <w:r>
              <w:rPr>
                <w:noProof/>
                <w:webHidden/>
              </w:rPr>
              <w:instrText xml:space="preserve"> PAGEREF _Toc204090249 \h </w:instrText>
            </w:r>
            <w:r>
              <w:rPr>
                <w:noProof/>
                <w:webHidden/>
              </w:rPr>
            </w:r>
            <w:r>
              <w:rPr>
                <w:noProof/>
                <w:webHidden/>
              </w:rPr>
              <w:fldChar w:fldCharType="separate"/>
            </w:r>
            <w:r w:rsidR="004C0EA8">
              <w:rPr>
                <w:noProof/>
                <w:webHidden/>
              </w:rPr>
              <w:t>5</w:t>
            </w:r>
            <w:r>
              <w:rPr>
                <w:noProof/>
                <w:webHidden/>
              </w:rPr>
              <w:fldChar w:fldCharType="end"/>
            </w:r>
          </w:hyperlink>
        </w:p>
        <w:p w14:paraId="03C0820F" w14:textId="1DFC727B" w:rsidR="00DA4786" w:rsidRDefault="00DA4786">
          <w:pPr>
            <w:pStyle w:val="TOC2"/>
            <w:tabs>
              <w:tab w:val="right" w:leader="dot" w:pos="9350"/>
            </w:tabs>
            <w:rPr>
              <w:rFonts w:asciiTheme="minorHAnsi" w:eastAsiaTheme="minorEastAsia" w:hAnsiTheme="minorHAnsi"/>
              <w:noProof/>
              <w:lang w:eastAsia="en-CA"/>
            </w:rPr>
          </w:pPr>
          <w:hyperlink w:anchor="_Toc204090250" w:history="1">
            <w:r w:rsidRPr="000362B6">
              <w:rPr>
                <w:rStyle w:val="Hyperlink"/>
                <w:noProof/>
              </w:rPr>
              <w:t>2.2 HRLSC’s Mandate:</w:t>
            </w:r>
            <w:r>
              <w:rPr>
                <w:noProof/>
                <w:webHidden/>
              </w:rPr>
              <w:tab/>
            </w:r>
            <w:r>
              <w:rPr>
                <w:noProof/>
                <w:webHidden/>
              </w:rPr>
              <w:fldChar w:fldCharType="begin"/>
            </w:r>
            <w:r>
              <w:rPr>
                <w:noProof/>
                <w:webHidden/>
              </w:rPr>
              <w:instrText xml:space="preserve"> PAGEREF _Toc204090250 \h </w:instrText>
            </w:r>
            <w:r>
              <w:rPr>
                <w:noProof/>
                <w:webHidden/>
              </w:rPr>
            </w:r>
            <w:r>
              <w:rPr>
                <w:noProof/>
                <w:webHidden/>
              </w:rPr>
              <w:fldChar w:fldCharType="separate"/>
            </w:r>
            <w:r w:rsidR="004C0EA8">
              <w:rPr>
                <w:noProof/>
                <w:webHidden/>
              </w:rPr>
              <w:t>6</w:t>
            </w:r>
            <w:r>
              <w:rPr>
                <w:noProof/>
                <w:webHidden/>
              </w:rPr>
              <w:fldChar w:fldCharType="end"/>
            </w:r>
          </w:hyperlink>
        </w:p>
        <w:p w14:paraId="171392D9" w14:textId="0D77A4D6" w:rsidR="00DA4786" w:rsidRDefault="00DA4786">
          <w:pPr>
            <w:pStyle w:val="TOC2"/>
            <w:tabs>
              <w:tab w:val="right" w:leader="dot" w:pos="9350"/>
            </w:tabs>
            <w:rPr>
              <w:rFonts w:asciiTheme="minorHAnsi" w:eastAsiaTheme="minorEastAsia" w:hAnsiTheme="minorHAnsi"/>
              <w:noProof/>
              <w:lang w:eastAsia="en-CA"/>
            </w:rPr>
          </w:pPr>
          <w:hyperlink w:anchor="_Toc204090254" w:history="1">
            <w:r w:rsidRPr="000362B6">
              <w:rPr>
                <w:rStyle w:val="Hyperlink"/>
                <w:noProof/>
              </w:rPr>
              <w:t>2.3 Services:</w:t>
            </w:r>
            <w:r>
              <w:rPr>
                <w:noProof/>
                <w:webHidden/>
              </w:rPr>
              <w:tab/>
            </w:r>
            <w:r>
              <w:rPr>
                <w:noProof/>
                <w:webHidden/>
              </w:rPr>
              <w:fldChar w:fldCharType="begin"/>
            </w:r>
            <w:r>
              <w:rPr>
                <w:noProof/>
                <w:webHidden/>
              </w:rPr>
              <w:instrText xml:space="preserve"> PAGEREF _Toc204090254 \h </w:instrText>
            </w:r>
            <w:r>
              <w:rPr>
                <w:noProof/>
                <w:webHidden/>
              </w:rPr>
            </w:r>
            <w:r>
              <w:rPr>
                <w:noProof/>
                <w:webHidden/>
              </w:rPr>
              <w:fldChar w:fldCharType="separate"/>
            </w:r>
            <w:r w:rsidR="004C0EA8">
              <w:rPr>
                <w:noProof/>
                <w:webHidden/>
              </w:rPr>
              <w:t>6</w:t>
            </w:r>
            <w:r>
              <w:rPr>
                <w:noProof/>
                <w:webHidden/>
              </w:rPr>
              <w:fldChar w:fldCharType="end"/>
            </w:r>
          </w:hyperlink>
        </w:p>
        <w:p w14:paraId="64F55FE7" w14:textId="63190553" w:rsidR="00DA4786" w:rsidRDefault="00DA4786">
          <w:pPr>
            <w:pStyle w:val="TOC1"/>
            <w:tabs>
              <w:tab w:val="left" w:pos="480"/>
            </w:tabs>
            <w:rPr>
              <w:rFonts w:asciiTheme="minorHAnsi" w:eastAsiaTheme="minorEastAsia" w:hAnsiTheme="minorHAnsi"/>
              <w:noProof/>
              <w:lang w:eastAsia="en-CA"/>
            </w:rPr>
          </w:pPr>
          <w:hyperlink w:anchor="_Toc204090255" w:history="1">
            <w:r w:rsidRPr="000362B6">
              <w:rPr>
                <w:rStyle w:val="Hyperlink"/>
                <w:noProof/>
              </w:rPr>
              <w:t>3.</w:t>
            </w:r>
            <w:r>
              <w:rPr>
                <w:rFonts w:asciiTheme="minorHAnsi" w:eastAsiaTheme="minorEastAsia" w:hAnsiTheme="minorHAnsi"/>
                <w:noProof/>
                <w:lang w:eastAsia="en-CA"/>
              </w:rPr>
              <w:tab/>
            </w:r>
            <w:r w:rsidRPr="000362B6">
              <w:rPr>
                <w:rStyle w:val="Hyperlink"/>
                <w:noProof/>
              </w:rPr>
              <w:t>Activities</w:t>
            </w:r>
            <w:r>
              <w:rPr>
                <w:noProof/>
                <w:webHidden/>
              </w:rPr>
              <w:tab/>
            </w:r>
            <w:r>
              <w:rPr>
                <w:noProof/>
                <w:webHidden/>
              </w:rPr>
              <w:fldChar w:fldCharType="begin"/>
            </w:r>
            <w:r>
              <w:rPr>
                <w:noProof/>
                <w:webHidden/>
              </w:rPr>
              <w:instrText xml:space="preserve"> PAGEREF _Toc204090255 \h </w:instrText>
            </w:r>
            <w:r>
              <w:rPr>
                <w:noProof/>
                <w:webHidden/>
              </w:rPr>
            </w:r>
            <w:r>
              <w:rPr>
                <w:noProof/>
                <w:webHidden/>
              </w:rPr>
              <w:fldChar w:fldCharType="separate"/>
            </w:r>
            <w:r w:rsidR="004C0EA8">
              <w:rPr>
                <w:noProof/>
                <w:webHidden/>
              </w:rPr>
              <w:t>7</w:t>
            </w:r>
            <w:r>
              <w:rPr>
                <w:noProof/>
                <w:webHidden/>
              </w:rPr>
              <w:fldChar w:fldCharType="end"/>
            </w:r>
          </w:hyperlink>
        </w:p>
        <w:p w14:paraId="346D0F4A" w14:textId="380F829E" w:rsidR="00DA4786" w:rsidRDefault="00DA4786">
          <w:pPr>
            <w:pStyle w:val="TOC2"/>
            <w:tabs>
              <w:tab w:val="right" w:leader="dot" w:pos="9350"/>
            </w:tabs>
            <w:rPr>
              <w:rFonts w:asciiTheme="minorHAnsi" w:eastAsiaTheme="minorEastAsia" w:hAnsiTheme="minorHAnsi"/>
              <w:noProof/>
              <w:lang w:eastAsia="en-CA"/>
            </w:rPr>
          </w:pPr>
          <w:hyperlink w:anchor="_Toc204090256" w:history="1">
            <w:r w:rsidRPr="000362B6">
              <w:rPr>
                <w:rStyle w:val="Hyperlink"/>
                <w:noProof/>
              </w:rPr>
              <w:t>3.1 Release of new Five-Year Strategic Plan</w:t>
            </w:r>
            <w:r>
              <w:rPr>
                <w:noProof/>
                <w:webHidden/>
              </w:rPr>
              <w:tab/>
            </w:r>
            <w:r>
              <w:rPr>
                <w:noProof/>
                <w:webHidden/>
              </w:rPr>
              <w:fldChar w:fldCharType="begin"/>
            </w:r>
            <w:r>
              <w:rPr>
                <w:noProof/>
                <w:webHidden/>
              </w:rPr>
              <w:instrText xml:space="preserve"> PAGEREF _Toc204090256 \h </w:instrText>
            </w:r>
            <w:r>
              <w:rPr>
                <w:noProof/>
                <w:webHidden/>
              </w:rPr>
            </w:r>
            <w:r>
              <w:rPr>
                <w:noProof/>
                <w:webHidden/>
              </w:rPr>
              <w:fldChar w:fldCharType="separate"/>
            </w:r>
            <w:r w:rsidR="004C0EA8">
              <w:rPr>
                <w:noProof/>
                <w:webHidden/>
              </w:rPr>
              <w:t>7</w:t>
            </w:r>
            <w:r>
              <w:rPr>
                <w:noProof/>
                <w:webHidden/>
              </w:rPr>
              <w:fldChar w:fldCharType="end"/>
            </w:r>
          </w:hyperlink>
        </w:p>
        <w:p w14:paraId="56F052B6" w14:textId="56362DBB" w:rsidR="00DA4786" w:rsidRDefault="00DA4786">
          <w:pPr>
            <w:pStyle w:val="TOC2"/>
            <w:tabs>
              <w:tab w:val="right" w:leader="dot" w:pos="9350"/>
            </w:tabs>
            <w:rPr>
              <w:rFonts w:asciiTheme="minorHAnsi" w:eastAsiaTheme="minorEastAsia" w:hAnsiTheme="minorHAnsi"/>
              <w:noProof/>
              <w:lang w:eastAsia="en-CA"/>
            </w:rPr>
          </w:pPr>
          <w:hyperlink w:anchor="_Toc204090257" w:history="1">
            <w:r w:rsidRPr="000362B6">
              <w:rPr>
                <w:rStyle w:val="Hyperlink"/>
                <w:noProof/>
              </w:rPr>
              <w:t>3.2 Speaking and Outreach Events</w:t>
            </w:r>
            <w:r>
              <w:rPr>
                <w:noProof/>
                <w:webHidden/>
              </w:rPr>
              <w:tab/>
            </w:r>
            <w:r>
              <w:rPr>
                <w:noProof/>
                <w:webHidden/>
              </w:rPr>
              <w:fldChar w:fldCharType="begin"/>
            </w:r>
            <w:r>
              <w:rPr>
                <w:noProof/>
                <w:webHidden/>
              </w:rPr>
              <w:instrText xml:space="preserve"> PAGEREF _Toc204090257 \h </w:instrText>
            </w:r>
            <w:r>
              <w:rPr>
                <w:noProof/>
                <w:webHidden/>
              </w:rPr>
            </w:r>
            <w:r>
              <w:rPr>
                <w:noProof/>
                <w:webHidden/>
              </w:rPr>
              <w:fldChar w:fldCharType="separate"/>
            </w:r>
            <w:r w:rsidR="004C0EA8">
              <w:rPr>
                <w:noProof/>
                <w:webHidden/>
              </w:rPr>
              <w:t>9</w:t>
            </w:r>
            <w:r>
              <w:rPr>
                <w:noProof/>
                <w:webHidden/>
              </w:rPr>
              <w:fldChar w:fldCharType="end"/>
            </w:r>
          </w:hyperlink>
        </w:p>
        <w:p w14:paraId="4DC988F2" w14:textId="4EC87F9E" w:rsidR="00DA4786" w:rsidRDefault="00DA4786">
          <w:pPr>
            <w:pStyle w:val="TOC2"/>
            <w:tabs>
              <w:tab w:val="right" w:leader="dot" w:pos="9350"/>
            </w:tabs>
            <w:rPr>
              <w:rFonts w:asciiTheme="minorHAnsi" w:eastAsiaTheme="minorEastAsia" w:hAnsiTheme="minorHAnsi"/>
              <w:noProof/>
              <w:lang w:eastAsia="en-CA"/>
            </w:rPr>
          </w:pPr>
          <w:hyperlink w:anchor="_Toc204090259" w:history="1">
            <w:r w:rsidRPr="000362B6">
              <w:rPr>
                <w:rStyle w:val="Hyperlink"/>
                <w:noProof/>
              </w:rPr>
              <w:t>3.2 Partnerships</w:t>
            </w:r>
            <w:r>
              <w:rPr>
                <w:noProof/>
                <w:webHidden/>
              </w:rPr>
              <w:tab/>
            </w:r>
            <w:r>
              <w:rPr>
                <w:noProof/>
                <w:webHidden/>
              </w:rPr>
              <w:fldChar w:fldCharType="begin"/>
            </w:r>
            <w:r>
              <w:rPr>
                <w:noProof/>
                <w:webHidden/>
              </w:rPr>
              <w:instrText xml:space="preserve"> PAGEREF _Toc204090259 \h </w:instrText>
            </w:r>
            <w:r>
              <w:rPr>
                <w:noProof/>
                <w:webHidden/>
              </w:rPr>
            </w:r>
            <w:r>
              <w:rPr>
                <w:noProof/>
                <w:webHidden/>
              </w:rPr>
              <w:fldChar w:fldCharType="separate"/>
            </w:r>
            <w:r w:rsidR="004C0EA8">
              <w:rPr>
                <w:noProof/>
                <w:webHidden/>
              </w:rPr>
              <w:t>10</w:t>
            </w:r>
            <w:r>
              <w:rPr>
                <w:noProof/>
                <w:webHidden/>
              </w:rPr>
              <w:fldChar w:fldCharType="end"/>
            </w:r>
          </w:hyperlink>
        </w:p>
        <w:p w14:paraId="4797982F" w14:textId="040149F1" w:rsidR="00DA4786" w:rsidRDefault="00DA4786">
          <w:pPr>
            <w:pStyle w:val="TOC3"/>
            <w:rPr>
              <w:rFonts w:asciiTheme="minorHAnsi" w:eastAsiaTheme="minorEastAsia" w:hAnsiTheme="minorHAnsi"/>
              <w:lang w:eastAsia="en-CA"/>
            </w:rPr>
          </w:pPr>
          <w:hyperlink w:anchor="_Toc204090260" w:history="1">
            <w:r w:rsidRPr="000362B6">
              <w:rPr>
                <w:rStyle w:val="Hyperlink"/>
              </w:rPr>
              <w:t>3.2.1 Indigenous Services and Outreach Committee</w:t>
            </w:r>
            <w:r>
              <w:rPr>
                <w:webHidden/>
              </w:rPr>
              <w:tab/>
            </w:r>
            <w:r>
              <w:rPr>
                <w:webHidden/>
              </w:rPr>
              <w:fldChar w:fldCharType="begin"/>
            </w:r>
            <w:r>
              <w:rPr>
                <w:webHidden/>
              </w:rPr>
              <w:instrText xml:space="preserve"> PAGEREF _Toc204090260 \h </w:instrText>
            </w:r>
            <w:r>
              <w:rPr>
                <w:webHidden/>
              </w:rPr>
            </w:r>
            <w:r>
              <w:rPr>
                <w:webHidden/>
              </w:rPr>
              <w:fldChar w:fldCharType="separate"/>
            </w:r>
            <w:r w:rsidR="004C0EA8">
              <w:rPr>
                <w:webHidden/>
              </w:rPr>
              <w:t>10</w:t>
            </w:r>
            <w:r>
              <w:rPr>
                <w:webHidden/>
              </w:rPr>
              <w:fldChar w:fldCharType="end"/>
            </w:r>
          </w:hyperlink>
        </w:p>
        <w:p w14:paraId="1DB62EF9" w14:textId="49E51A25" w:rsidR="00DA4786" w:rsidRDefault="00DA4786">
          <w:pPr>
            <w:pStyle w:val="TOC3"/>
            <w:rPr>
              <w:rFonts w:asciiTheme="minorHAnsi" w:eastAsiaTheme="minorEastAsia" w:hAnsiTheme="minorHAnsi"/>
              <w:lang w:eastAsia="en-CA"/>
            </w:rPr>
          </w:pPr>
          <w:hyperlink w:anchor="_Toc204090261" w:history="1">
            <w:r w:rsidRPr="000362B6">
              <w:rPr>
                <w:rStyle w:val="Hyperlink"/>
              </w:rPr>
              <w:t>3.2.2 Ontario Human Rights Commission – Community Advisory Group</w:t>
            </w:r>
            <w:r>
              <w:rPr>
                <w:webHidden/>
              </w:rPr>
              <w:tab/>
            </w:r>
            <w:r>
              <w:rPr>
                <w:webHidden/>
              </w:rPr>
              <w:fldChar w:fldCharType="begin"/>
            </w:r>
            <w:r>
              <w:rPr>
                <w:webHidden/>
              </w:rPr>
              <w:instrText xml:space="preserve"> PAGEREF _Toc204090261 \h </w:instrText>
            </w:r>
            <w:r>
              <w:rPr>
                <w:webHidden/>
              </w:rPr>
            </w:r>
            <w:r>
              <w:rPr>
                <w:webHidden/>
              </w:rPr>
              <w:fldChar w:fldCharType="separate"/>
            </w:r>
            <w:r w:rsidR="004C0EA8">
              <w:rPr>
                <w:webHidden/>
              </w:rPr>
              <w:t>12</w:t>
            </w:r>
            <w:r>
              <w:rPr>
                <w:webHidden/>
              </w:rPr>
              <w:fldChar w:fldCharType="end"/>
            </w:r>
          </w:hyperlink>
        </w:p>
        <w:p w14:paraId="7134CF82" w14:textId="3C6464FB" w:rsidR="00DA4786" w:rsidRDefault="00DA4786">
          <w:pPr>
            <w:pStyle w:val="TOC3"/>
            <w:rPr>
              <w:rFonts w:asciiTheme="minorHAnsi" w:eastAsiaTheme="minorEastAsia" w:hAnsiTheme="minorHAnsi"/>
              <w:lang w:eastAsia="en-CA"/>
            </w:rPr>
          </w:pPr>
          <w:hyperlink w:anchor="_Toc204090262" w:history="1">
            <w:r w:rsidRPr="000362B6">
              <w:rPr>
                <w:rStyle w:val="Hyperlink"/>
              </w:rPr>
              <w:t>3.2.3 Anti-Discrimination Intensive Program</w:t>
            </w:r>
            <w:r>
              <w:rPr>
                <w:webHidden/>
              </w:rPr>
              <w:tab/>
            </w:r>
            <w:r>
              <w:rPr>
                <w:webHidden/>
              </w:rPr>
              <w:fldChar w:fldCharType="begin"/>
            </w:r>
            <w:r>
              <w:rPr>
                <w:webHidden/>
              </w:rPr>
              <w:instrText xml:space="preserve"> PAGEREF _Toc204090262 \h </w:instrText>
            </w:r>
            <w:r>
              <w:rPr>
                <w:webHidden/>
              </w:rPr>
            </w:r>
            <w:r>
              <w:rPr>
                <w:webHidden/>
              </w:rPr>
              <w:fldChar w:fldCharType="separate"/>
            </w:r>
            <w:r w:rsidR="004C0EA8">
              <w:rPr>
                <w:webHidden/>
              </w:rPr>
              <w:t>12</w:t>
            </w:r>
            <w:r>
              <w:rPr>
                <w:webHidden/>
              </w:rPr>
              <w:fldChar w:fldCharType="end"/>
            </w:r>
          </w:hyperlink>
        </w:p>
        <w:p w14:paraId="1209B241" w14:textId="1FA4EBFE" w:rsidR="00DA4786" w:rsidRDefault="00DA4786">
          <w:pPr>
            <w:pStyle w:val="TOC3"/>
            <w:rPr>
              <w:rFonts w:asciiTheme="minorHAnsi" w:eastAsiaTheme="minorEastAsia" w:hAnsiTheme="minorHAnsi"/>
              <w:lang w:eastAsia="en-CA"/>
            </w:rPr>
          </w:pPr>
          <w:hyperlink w:anchor="_Toc204090263" w:history="1">
            <w:r w:rsidRPr="000362B6">
              <w:rPr>
                <w:rStyle w:val="Hyperlink"/>
              </w:rPr>
              <w:t>3.2.4 Windsor University Student Placement</w:t>
            </w:r>
            <w:r>
              <w:rPr>
                <w:webHidden/>
              </w:rPr>
              <w:tab/>
            </w:r>
            <w:r>
              <w:rPr>
                <w:webHidden/>
              </w:rPr>
              <w:fldChar w:fldCharType="begin"/>
            </w:r>
            <w:r>
              <w:rPr>
                <w:webHidden/>
              </w:rPr>
              <w:instrText xml:space="preserve"> PAGEREF _Toc204090263 \h </w:instrText>
            </w:r>
            <w:r>
              <w:rPr>
                <w:webHidden/>
              </w:rPr>
            </w:r>
            <w:r>
              <w:rPr>
                <w:webHidden/>
              </w:rPr>
              <w:fldChar w:fldCharType="separate"/>
            </w:r>
            <w:r w:rsidR="004C0EA8">
              <w:rPr>
                <w:webHidden/>
              </w:rPr>
              <w:t>12</w:t>
            </w:r>
            <w:r>
              <w:rPr>
                <w:webHidden/>
              </w:rPr>
              <w:fldChar w:fldCharType="end"/>
            </w:r>
          </w:hyperlink>
        </w:p>
        <w:p w14:paraId="19081D31" w14:textId="7459F37D" w:rsidR="00DA4786" w:rsidRDefault="00DA4786">
          <w:pPr>
            <w:pStyle w:val="TOC3"/>
            <w:rPr>
              <w:rFonts w:asciiTheme="minorHAnsi" w:eastAsiaTheme="minorEastAsia" w:hAnsiTheme="minorHAnsi"/>
              <w:lang w:eastAsia="en-CA"/>
            </w:rPr>
          </w:pPr>
          <w:hyperlink w:anchor="_Toc204090264" w:history="1">
            <w:r w:rsidRPr="000362B6">
              <w:rPr>
                <w:rStyle w:val="Hyperlink"/>
              </w:rPr>
              <w:t>3.2.5 Western Ontario Summer Student Placement</w:t>
            </w:r>
            <w:r>
              <w:rPr>
                <w:webHidden/>
              </w:rPr>
              <w:tab/>
            </w:r>
            <w:r>
              <w:rPr>
                <w:webHidden/>
              </w:rPr>
              <w:fldChar w:fldCharType="begin"/>
            </w:r>
            <w:r>
              <w:rPr>
                <w:webHidden/>
              </w:rPr>
              <w:instrText xml:space="preserve"> PAGEREF _Toc204090264 \h </w:instrText>
            </w:r>
            <w:r>
              <w:rPr>
                <w:webHidden/>
              </w:rPr>
            </w:r>
            <w:r>
              <w:rPr>
                <w:webHidden/>
              </w:rPr>
              <w:fldChar w:fldCharType="separate"/>
            </w:r>
            <w:r w:rsidR="004C0EA8">
              <w:rPr>
                <w:webHidden/>
              </w:rPr>
              <w:t>12</w:t>
            </w:r>
            <w:r>
              <w:rPr>
                <w:webHidden/>
              </w:rPr>
              <w:fldChar w:fldCharType="end"/>
            </w:r>
          </w:hyperlink>
        </w:p>
        <w:p w14:paraId="67548F67" w14:textId="39C4E62E" w:rsidR="00DA4786" w:rsidRDefault="00DA4786">
          <w:pPr>
            <w:pStyle w:val="TOC3"/>
            <w:rPr>
              <w:rFonts w:asciiTheme="minorHAnsi" w:eastAsiaTheme="minorEastAsia" w:hAnsiTheme="minorHAnsi"/>
              <w:lang w:eastAsia="en-CA"/>
            </w:rPr>
          </w:pPr>
          <w:hyperlink w:anchor="_Toc204090265" w:history="1">
            <w:r w:rsidRPr="000362B6">
              <w:rPr>
                <w:rStyle w:val="Hyperlink"/>
              </w:rPr>
              <w:t>3.2.6 Barbra Schlifer Commemorative Clinic</w:t>
            </w:r>
            <w:r>
              <w:rPr>
                <w:webHidden/>
              </w:rPr>
              <w:tab/>
            </w:r>
            <w:r>
              <w:rPr>
                <w:webHidden/>
              </w:rPr>
              <w:fldChar w:fldCharType="begin"/>
            </w:r>
            <w:r>
              <w:rPr>
                <w:webHidden/>
              </w:rPr>
              <w:instrText xml:space="preserve"> PAGEREF _Toc204090265 \h </w:instrText>
            </w:r>
            <w:r>
              <w:rPr>
                <w:webHidden/>
              </w:rPr>
            </w:r>
            <w:r>
              <w:rPr>
                <w:webHidden/>
              </w:rPr>
              <w:fldChar w:fldCharType="separate"/>
            </w:r>
            <w:r w:rsidR="004C0EA8">
              <w:rPr>
                <w:webHidden/>
              </w:rPr>
              <w:t>13</w:t>
            </w:r>
            <w:r>
              <w:rPr>
                <w:webHidden/>
              </w:rPr>
              <w:fldChar w:fldCharType="end"/>
            </w:r>
          </w:hyperlink>
        </w:p>
        <w:p w14:paraId="320E61DF" w14:textId="34895C25" w:rsidR="00DA4786" w:rsidRDefault="00DA4786">
          <w:pPr>
            <w:pStyle w:val="TOC3"/>
            <w:rPr>
              <w:rFonts w:asciiTheme="minorHAnsi" w:eastAsiaTheme="minorEastAsia" w:hAnsiTheme="minorHAnsi"/>
              <w:lang w:eastAsia="en-CA"/>
            </w:rPr>
          </w:pPr>
          <w:hyperlink w:anchor="_Toc204090266" w:history="1">
            <w:r w:rsidRPr="000362B6">
              <w:rPr>
                <w:rStyle w:val="Hyperlink"/>
              </w:rPr>
              <w:t>3.2.7 Law Foundation Ontario, Community Legal Education Ontario and Osgoode Hall</w:t>
            </w:r>
            <w:r>
              <w:rPr>
                <w:webHidden/>
              </w:rPr>
              <w:tab/>
            </w:r>
            <w:r>
              <w:rPr>
                <w:webHidden/>
              </w:rPr>
              <w:fldChar w:fldCharType="begin"/>
            </w:r>
            <w:r>
              <w:rPr>
                <w:webHidden/>
              </w:rPr>
              <w:instrText xml:space="preserve"> PAGEREF _Toc204090266 \h </w:instrText>
            </w:r>
            <w:r>
              <w:rPr>
                <w:webHidden/>
              </w:rPr>
            </w:r>
            <w:r>
              <w:rPr>
                <w:webHidden/>
              </w:rPr>
              <w:fldChar w:fldCharType="separate"/>
            </w:r>
            <w:r w:rsidR="004C0EA8">
              <w:rPr>
                <w:webHidden/>
              </w:rPr>
              <w:t>13</w:t>
            </w:r>
            <w:r>
              <w:rPr>
                <w:webHidden/>
              </w:rPr>
              <w:fldChar w:fldCharType="end"/>
            </w:r>
          </w:hyperlink>
        </w:p>
        <w:p w14:paraId="6CCD80B9" w14:textId="75284FC1" w:rsidR="00DA4786" w:rsidRDefault="00DA4786">
          <w:pPr>
            <w:pStyle w:val="TOC1"/>
            <w:rPr>
              <w:rFonts w:asciiTheme="minorHAnsi" w:eastAsiaTheme="minorEastAsia" w:hAnsiTheme="minorHAnsi"/>
              <w:noProof/>
              <w:lang w:eastAsia="en-CA"/>
            </w:rPr>
          </w:pPr>
          <w:hyperlink w:anchor="_Toc204090267" w:history="1">
            <w:r w:rsidRPr="000362B6">
              <w:rPr>
                <w:rStyle w:val="Hyperlink"/>
                <w:noProof/>
              </w:rPr>
              <w:t>4. Operational Performance</w:t>
            </w:r>
            <w:r>
              <w:rPr>
                <w:noProof/>
                <w:webHidden/>
              </w:rPr>
              <w:tab/>
            </w:r>
            <w:r>
              <w:rPr>
                <w:noProof/>
                <w:webHidden/>
              </w:rPr>
              <w:fldChar w:fldCharType="begin"/>
            </w:r>
            <w:r>
              <w:rPr>
                <w:noProof/>
                <w:webHidden/>
              </w:rPr>
              <w:instrText xml:space="preserve"> PAGEREF _Toc204090267 \h </w:instrText>
            </w:r>
            <w:r>
              <w:rPr>
                <w:noProof/>
                <w:webHidden/>
              </w:rPr>
            </w:r>
            <w:r>
              <w:rPr>
                <w:noProof/>
                <w:webHidden/>
              </w:rPr>
              <w:fldChar w:fldCharType="separate"/>
            </w:r>
            <w:r w:rsidR="004C0EA8">
              <w:rPr>
                <w:noProof/>
                <w:webHidden/>
              </w:rPr>
              <w:t>15</w:t>
            </w:r>
            <w:r>
              <w:rPr>
                <w:noProof/>
                <w:webHidden/>
              </w:rPr>
              <w:fldChar w:fldCharType="end"/>
            </w:r>
          </w:hyperlink>
        </w:p>
        <w:p w14:paraId="22D03BCF" w14:textId="5E6F44F9" w:rsidR="00DA4786" w:rsidRDefault="00DA4786">
          <w:pPr>
            <w:pStyle w:val="TOC2"/>
            <w:tabs>
              <w:tab w:val="right" w:leader="dot" w:pos="9350"/>
            </w:tabs>
            <w:rPr>
              <w:rFonts w:asciiTheme="minorHAnsi" w:eastAsiaTheme="minorEastAsia" w:hAnsiTheme="minorHAnsi"/>
              <w:noProof/>
              <w:lang w:eastAsia="en-CA"/>
            </w:rPr>
          </w:pPr>
          <w:hyperlink w:anchor="_Toc204090268" w:history="1">
            <w:r w:rsidRPr="000362B6">
              <w:rPr>
                <w:rStyle w:val="Hyperlink"/>
                <w:noProof/>
              </w:rPr>
              <w:t>4.1 Case Summaries</w:t>
            </w:r>
            <w:r>
              <w:rPr>
                <w:noProof/>
                <w:webHidden/>
              </w:rPr>
              <w:tab/>
            </w:r>
            <w:r>
              <w:rPr>
                <w:noProof/>
                <w:webHidden/>
              </w:rPr>
              <w:fldChar w:fldCharType="begin"/>
            </w:r>
            <w:r>
              <w:rPr>
                <w:noProof/>
                <w:webHidden/>
              </w:rPr>
              <w:instrText xml:space="preserve"> PAGEREF _Toc204090268 \h </w:instrText>
            </w:r>
            <w:r>
              <w:rPr>
                <w:noProof/>
                <w:webHidden/>
              </w:rPr>
            </w:r>
            <w:r>
              <w:rPr>
                <w:noProof/>
                <w:webHidden/>
              </w:rPr>
              <w:fldChar w:fldCharType="separate"/>
            </w:r>
            <w:r w:rsidR="004C0EA8">
              <w:rPr>
                <w:noProof/>
                <w:webHidden/>
              </w:rPr>
              <w:t>15</w:t>
            </w:r>
            <w:r>
              <w:rPr>
                <w:noProof/>
                <w:webHidden/>
              </w:rPr>
              <w:fldChar w:fldCharType="end"/>
            </w:r>
          </w:hyperlink>
        </w:p>
        <w:p w14:paraId="29933EC1" w14:textId="76A1E9D2" w:rsidR="00DA4786" w:rsidRDefault="00DA4786">
          <w:pPr>
            <w:pStyle w:val="TOC3"/>
            <w:rPr>
              <w:rFonts w:asciiTheme="minorHAnsi" w:eastAsiaTheme="minorEastAsia" w:hAnsiTheme="minorHAnsi"/>
              <w:lang w:eastAsia="en-CA"/>
            </w:rPr>
          </w:pPr>
          <w:hyperlink w:anchor="_Toc204090269" w:history="1">
            <w:r w:rsidRPr="000362B6">
              <w:rPr>
                <w:rStyle w:val="Hyperlink"/>
              </w:rPr>
              <w:t>4.1.1 Judicial Reviews</w:t>
            </w:r>
            <w:r>
              <w:rPr>
                <w:webHidden/>
              </w:rPr>
              <w:tab/>
            </w:r>
            <w:r>
              <w:rPr>
                <w:webHidden/>
              </w:rPr>
              <w:fldChar w:fldCharType="begin"/>
            </w:r>
            <w:r>
              <w:rPr>
                <w:webHidden/>
              </w:rPr>
              <w:instrText xml:space="preserve"> PAGEREF _Toc204090269 \h </w:instrText>
            </w:r>
            <w:r>
              <w:rPr>
                <w:webHidden/>
              </w:rPr>
            </w:r>
            <w:r>
              <w:rPr>
                <w:webHidden/>
              </w:rPr>
              <w:fldChar w:fldCharType="separate"/>
            </w:r>
            <w:r w:rsidR="004C0EA8">
              <w:rPr>
                <w:webHidden/>
              </w:rPr>
              <w:t>15</w:t>
            </w:r>
            <w:r>
              <w:rPr>
                <w:webHidden/>
              </w:rPr>
              <w:fldChar w:fldCharType="end"/>
            </w:r>
          </w:hyperlink>
        </w:p>
        <w:p w14:paraId="10DB41B1" w14:textId="164B1E68" w:rsidR="00DA4786" w:rsidRDefault="00DA4786">
          <w:pPr>
            <w:pStyle w:val="TOC3"/>
            <w:rPr>
              <w:rFonts w:asciiTheme="minorHAnsi" w:eastAsiaTheme="minorEastAsia" w:hAnsiTheme="minorHAnsi"/>
              <w:lang w:eastAsia="en-CA"/>
            </w:rPr>
          </w:pPr>
          <w:hyperlink w:anchor="_Toc204090270" w:history="1">
            <w:r w:rsidRPr="000362B6">
              <w:rPr>
                <w:rStyle w:val="Hyperlink"/>
              </w:rPr>
              <w:t>4.1.2 HRTO Hearings</w:t>
            </w:r>
            <w:r>
              <w:rPr>
                <w:webHidden/>
              </w:rPr>
              <w:tab/>
            </w:r>
            <w:r>
              <w:rPr>
                <w:webHidden/>
              </w:rPr>
              <w:fldChar w:fldCharType="begin"/>
            </w:r>
            <w:r>
              <w:rPr>
                <w:webHidden/>
              </w:rPr>
              <w:instrText xml:space="preserve"> PAGEREF _Toc204090270 \h </w:instrText>
            </w:r>
            <w:r>
              <w:rPr>
                <w:webHidden/>
              </w:rPr>
            </w:r>
            <w:r>
              <w:rPr>
                <w:webHidden/>
              </w:rPr>
              <w:fldChar w:fldCharType="separate"/>
            </w:r>
            <w:r w:rsidR="004C0EA8">
              <w:rPr>
                <w:webHidden/>
              </w:rPr>
              <w:t>16</w:t>
            </w:r>
            <w:r>
              <w:rPr>
                <w:webHidden/>
              </w:rPr>
              <w:fldChar w:fldCharType="end"/>
            </w:r>
          </w:hyperlink>
        </w:p>
        <w:p w14:paraId="4673D308" w14:textId="012293D5" w:rsidR="00DA4786" w:rsidRDefault="00DA4786">
          <w:pPr>
            <w:pStyle w:val="TOC3"/>
            <w:rPr>
              <w:rFonts w:asciiTheme="minorHAnsi" w:eastAsiaTheme="minorEastAsia" w:hAnsiTheme="minorHAnsi"/>
              <w:lang w:eastAsia="en-CA"/>
            </w:rPr>
          </w:pPr>
          <w:hyperlink w:anchor="_Toc204090271" w:history="1">
            <w:r w:rsidRPr="000362B6">
              <w:rPr>
                <w:rStyle w:val="Hyperlink"/>
              </w:rPr>
              <w:t>4.1.3 Early Dispute Resolution Interventions</w:t>
            </w:r>
            <w:r>
              <w:rPr>
                <w:webHidden/>
              </w:rPr>
              <w:tab/>
            </w:r>
            <w:r>
              <w:rPr>
                <w:webHidden/>
              </w:rPr>
              <w:fldChar w:fldCharType="begin"/>
            </w:r>
            <w:r>
              <w:rPr>
                <w:webHidden/>
              </w:rPr>
              <w:instrText xml:space="preserve"> PAGEREF _Toc204090271 \h </w:instrText>
            </w:r>
            <w:r>
              <w:rPr>
                <w:webHidden/>
              </w:rPr>
            </w:r>
            <w:r>
              <w:rPr>
                <w:webHidden/>
              </w:rPr>
              <w:fldChar w:fldCharType="separate"/>
            </w:r>
            <w:r w:rsidR="004C0EA8">
              <w:rPr>
                <w:webHidden/>
              </w:rPr>
              <w:t>20</w:t>
            </w:r>
            <w:r>
              <w:rPr>
                <w:webHidden/>
              </w:rPr>
              <w:fldChar w:fldCharType="end"/>
            </w:r>
          </w:hyperlink>
        </w:p>
        <w:p w14:paraId="6473A86E" w14:textId="2FC02889" w:rsidR="00DA4786" w:rsidRDefault="00DA4786">
          <w:pPr>
            <w:pStyle w:val="TOC3"/>
            <w:rPr>
              <w:rFonts w:asciiTheme="minorHAnsi" w:eastAsiaTheme="minorEastAsia" w:hAnsiTheme="minorHAnsi"/>
              <w:lang w:eastAsia="en-CA"/>
            </w:rPr>
          </w:pPr>
          <w:hyperlink w:anchor="_Toc204090272" w:history="1">
            <w:r w:rsidRPr="000362B6">
              <w:rPr>
                <w:rStyle w:val="Hyperlink"/>
              </w:rPr>
              <w:t>4.1.4 Settlements</w:t>
            </w:r>
            <w:r>
              <w:rPr>
                <w:webHidden/>
              </w:rPr>
              <w:tab/>
            </w:r>
            <w:r>
              <w:rPr>
                <w:webHidden/>
              </w:rPr>
              <w:fldChar w:fldCharType="begin"/>
            </w:r>
            <w:r>
              <w:rPr>
                <w:webHidden/>
              </w:rPr>
              <w:instrText xml:space="preserve"> PAGEREF _Toc204090272 \h </w:instrText>
            </w:r>
            <w:r>
              <w:rPr>
                <w:webHidden/>
              </w:rPr>
            </w:r>
            <w:r>
              <w:rPr>
                <w:webHidden/>
              </w:rPr>
              <w:fldChar w:fldCharType="separate"/>
            </w:r>
            <w:r w:rsidR="004C0EA8">
              <w:rPr>
                <w:webHidden/>
              </w:rPr>
              <w:t>21</w:t>
            </w:r>
            <w:r>
              <w:rPr>
                <w:webHidden/>
              </w:rPr>
              <w:fldChar w:fldCharType="end"/>
            </w:r>
          </w:hyperlink>
        </w:p>
        <w:p w14:paraId="44116B96" w14:textId="1EF37D32" w:rsidR="00DA4786" w:rsidRDefault="00DA4786">
          <w:pPr>
            <w:pStyle w:val="TOC3"/>
            <w:rPr>
              <w:rFonts w:asciiTheme="minorHAnsi" w:eastAsiaTheme="minorEastAsia" w:hAnsiTheme="minorHAnsi"/>
              <w:lang w:eastAsia="en-CA"/>
            </w:rPr>
          </w:pPr>
          <w:hyperlink w:anchor="_Toc204090273" w:history="1">
            <w:r w:rsidRPr="000362B6">
              <w:rPr>
                <w:rStyle w:val="Hyperlink"/>
              </w:rPr>
              <w:t>4.1.5 Enforcement</w:t>
            </w:r>
            <w:r>
              <w:rPr>
                <w:webHidden/>
              </w:rPr>
              <w:tab/>
            </w:r>
            <w:r>
              <w:rPr>
                <w:webHidden/>
              </w:rPr>
              <w:fldChar w:fldCharType="begin"/>
            </w:r>
            <w:r>
              <w:rPr>
                <w:webHidden/>
              </w:rPr>
              <w:instrText xml:space="preserve"> PAGEREF _Toc204090273 \h </w:instrText>
            </w:r>
            <w:r>
              <w:rPr>
                <w:webHidden/>
              </w:rPr>
            </w:r>
            <w:r>
              <w:rPr>
                <w:webHidden/>
              </w:rPr>
              <w:fldChar w:fldCharType="separate"/>
            </w:r>
            <w:r w:rsidR="004C0EA8">
              <w:rPr>
                <w:webHidden/>
              </w:rPr>
              <w:t>22</w:t>
            </w:r>
            <w:r>
              <w:rPr>
                <w:webHidden/>
              </w:rPr>
              <w:fldChar w:fldCharType="end"/>
            </w:r>
          </w:hyperlink>
        </w:p>
        <w:p w14:paraId="6B593B59" w14:textId="448D935F" w:rsidR="00DA4786" w:rsidRDefault="00DA4786">
          <w:pPr>
            <w:pStyle w:val="TOC2"/>
            <w:tabs>
              <w:tab w:val="right" w:leader="dot" w:pos="9350"/>
            </w:tabs>
            <w:rPr>
              <w:rFonts w:asciiTheme="minorHAnsi" w:eastAsiaTheme="minorEastAsia" w:hAnsiTheme="minorHAnsi"/>
              <w:noProof/>
              <w:lang w:eastAsia="en-CA"/>
            </w:rPr>
          </w:pPr>
          <w:hyperlink w:anchor="_Toc204090274" w:history="1">
            <w:r w:rsidRPr="000362B6">
              <w:rPr>
                <w:rStyle w:val="Hyperlink"/>
                <w:noProof/>
              </w:rPr>
              <w:t>4.2 In the Media</w:t>
            </w:r>
            <w:r>
              <w:rPr>
                <w:noProof/>
                <w:webHidden/>
              </w:rPr>
              <w:tab/>
            </w:r>
            <w:r>
              <w:rPr>
                <w:noProof/>
                <w:webHidden/>
              </w:rPr>
              <w:fldChar w:fldCharType="begin"/>
            </w:r>
            <w:r>
              <w:rPr>
                <w:noProof/>
                <w:webHidden/>
              </w:rPr>
              <w:instrText xml:space="preserve"> PAGEREF _Toc204090274 \h </w:instrText>
            </w:r>
            <w:r>
              <w:rPr>
                <w:noProof/>
                <w:webHidden/>
              </w:rPr>
            </w:r>
            <w:r>
              <w:rPr>
                <w:noProof/>
                <w:webHidden/>
              </w:rPr>
              <w:fldChar w:fldCharType="separate"/>
            </w:r>
            <w:r w:rsidR="004C0EA8">
              <w:rPr>
                <w:noProof/>
                <w:webHidden/>
              </w:rPr>
              <w:t>24</w:t>
            </w:r>
            <w:r>
              <w:rPr>
                <w:noProof/>
                <w:webHidden/>
              </w:rPr>
              <w:fldChar w:fldCharType="end"/>
            </w:r>
          </w:hyperlink>
        </w:p>
        <w:p w14:paraId="4AFD09D4" w14:textId="7D8BC6E2" w:rsidR="00DA4786" w:rsidRDefault="00DA4786">
          <w:pPr>
            <w:pStyle w:val="TOC2"/>
            <w:tabs>
              <w:tab w:val="right" w:leader="dot" w:pos="9350"/>
            </w:tabs>
            <w:rPr>
              <w:rFonts w:asciiTheme="minorHAnsi" w:eastAsiaTheme="minorEastAsia" w:hAnsiTheme="minorHAnsi"/>
              <w:noProof/>
              <w:lang w:eastAsia="en-CA"/>
            </w:rPr>
          </w:pPr>
          <w:hyperlink w:anchor="_Toc204090277" w:history="1">
            <w:r w:rsidRPr="009B65A0">
              <w:rPr>
                <w:rStyle w:val="Hyperlink"/>
                <w:noProof/>
              </w:rPr>
              <w:t>4.3. 2024</w:t>
            </w:r>
            <w:r w:rsidR="009B65A0" w:rsidRPr="009B65A0">
              <w:rPr>
                <w:rStyle w:val="Hyperlink"/>
                <w:noProof/>
              </w:rPr>
              <w:t>–</w:t>
            </w:r>
            <w:r w:rsidRPr="009B65A0">
              <w:rPr>
                <w:rStyle w:val="Hyperlink"/>
                <w:noProof/>
              </w:rPr>
              <w:t>2025 Statistics</w:t>
            </w:r>
            <w:r w:rsidRPr="009B65A0">
              <w:rPr>
                <w:rStyle w:val="Hyperlink"/>
                <w:noProof/>
                <w:webHidden/>
              </w:rPr>
              <w:tab/>
            </w:r>
            <w:r w:rsidRPr="009B65A0">
              <w:rPr>
                <w:rStyle w:val="Hyperlink"/>
                <w:noProof/>
                <w:webHidden/>
              </w:rPr>
              <w:fldChar w:fldCharType="begin"/>
            </w:r>
            <w:r w:rsidRPr="009B65A0">
              <w:rPr>
                <w:rStyle w:val="Hyperlink"/>
                <w:noProof/>
                <w:webHidden/>
              </w:rPr>
              <w:instrText xml:space="preserve"> PAGEREF _Toc204090277 \h </w:instrText>
            </w:r>
            <w:r w:rsidRPr="009B65A0">
              <w:rPr>
                <w:rStyle w:val="Hyperlink"/>
                <w:noProof/>
                <w:webHidden/>
              </w:rPr>
            </w:r>
            <w:r w:rsidRPr="009B65A0">
              <w:rPr>
                <w:rStyle w:val="Hyperlink"/>
                <w:noProof/>
                <w:webHidden/>
              </w:rPr>
              <w:fldChar w:fldCharType="separate"/>
            </w:r>
            <w:r w:rsidR="004C0EA8">
              <w:rPr>
                <w:rStyle w:val="Hyperlink"/>
                <w:noProof/>
                <w:webHidden/>
              </w:rPr>
              <w:t>26</w:t>
            </w:r>
            <w:r w:rsidRPr="009B65A0">
              <w:rPr>
                <w:rStyle w:val="Hyperlink"/>
                <w:noProof/>
                <w:webHidden/>
              </w:rPr>
              <w:fldChar w:fldCharType="end"/>
            </w:r>
          </w:hyperlink>
        </w:p>
        <w:p w14:paraId="686ED877" w14:textId="6D4D6619" w:rsidR="00DA4786" w:rsidRDefault="00DA4786">
          <w:pPr>
            <w:pStyle w:val="TOC3"/>
            <w:rPr>
              <w:rFonts w:asciiTheme="minorHAnsi" w:eastAsiaTheme="minorEastAsia" w:hAnsiTheme="minorHAnsi"/>
              <w:lang w:eastAsia="en-CA"/>
            </w:rPr>
          </w:pPr>
          <w:hyperlink w:anchor="_Toc204090278" w:history="1">
            <w:r w:rsidRPr="000362B6">
              <w:rPr>
                <w:rStyle w:val="Hyperlink"/>
              </w:rPr>
              <w:t>4.3.1 Region</w:t>
            </w:r>
            <w:r>
              <w:rPr>
                <w:webHidden/>
              </w:rPr>
              <w:tab/>
            </w:r>
            <w:r>
              <w:rPr>
                <w:webHidden/>
              </w:rPr>
              <w:fldChar w:fldCharType="begin"/>
            </w:r>
            <w:r>
              <w:rPr>
                <w:webHidden/>
              </w:rPr>
              <w:instrText xml:space="preserve"> PAGEREF _Toc204090278 \h </w:instrText>
            </w:r>
            <w:r>
              <w:rPr>
                <w:webHidden/>
              </w:rPr>
            </w:r>
            <w:r>
              <w:rPr>
                <w:webHidden/>
              </w:rPr>
              <w:fldChar w:fldCharType="separate"/>
            </w:r>
            <w:r w:rsidR="004C0EA8">
              <w:rPr>
                <w:webHidden/>
              </w:rPr>
              <w:t>26</w:t>
            </w:r>
            <w:r>
              <w:rPr>
                <w:webHidden/>
              </w:rPr>
              <w:fldChar w:fldCharType="end"/>
            </w:r>
          </w:hyperlink>
        </w:p>
        <w:p w14:paraId="7F732DE2" w14:textId="7BA30663" w:rsidR="00DA4786" w:rsidRDefault="00DA4786">
          <w:pPr>
            <w:pStyle w:val="TOC3"/>
            <w:rPr>
              <w:rFonts w:asciiTheme="minorHAnsi" w:eastAsiaTheme="minorEastAsia" w:hAnsiTheme="minorHAnsi"/>
              <w:lang w:eastAsia="en-CA"/>
            </w:rPr>
          </w:pPr>
          <w:hyperlink w:anchor="_Toc204090279" w:history="1">
            <w:r w:rsidRPr="000362B6">
              <w:rPr>
                <w:rStyle w:val="Hyperlink"/>
              </w:rPr>
              <w:t>4.3.2 Social Areas</w:t>
            </w:r>
            <w:r>
              <w:rPr>
                <w:webHidden/>
              </w:rPr>
              <w:tab/>
            </w:r>
            <w:r>
              <w:rPr>
                <w:webHidden/>
              </w:rPr>
              <w:fldChar w:fldCharType="begin"/>
            </w:r>
            <w:r>
              <w:rPr>
                <w:webHidden/>
              </w:rPr>
              <w:instrText xml:space="preserve"> PAGEREF _Toc204090279 \h </w:instrText>
            </w:r>
            <w:r>
              <w:rPr>
                <w:webHidden/>
              </w:rPr>
            </w:r>
            <w:r>
              <w:rPr>
                <w:webHidden/>
              </w:rPr>
              <w:fldChar w:fldCharType="separate"/>
            </w:r>
            <w:r w:rsidR="004C0EA8">
              <w:rPr>
                <w:webHidden/>
              </w:rPr>
              <w:t>29</w:t>
            </w:r>
            <w:r>
              <w:rPr>
                <w:webHidden/>
              </w:rPr>
              <w:fldChar w:fldCharType="end"/>
            </w:r>
          </w:hyperlink>
        </w:p>
        <w:p w14:paraId="00B44372" w14:textId="7AFABE7A" w:rsidR="00DA4786" w:rsidRDefault="00DA4786">
          <w:pPr>
            <w:pStyle w:val="TOC3"/>
            <w:rPr>
              <w:rFonts w:asciiTheme="minorHAnsi" w:eastAsiaTheme="minorEastAsia" w:hAnsiTheme="minorHAnsi"/>
              <w:lang w:eastAsia="en-CA"/>
            </w:rPr>
          </w:pPr>
          <w:hyperlink w:anchor="_Toc204090280" w:history="1">
            <w:r w:rsidRPr="000362B6">
              <w:rPr>
                <w:rStyle w:val="Hyperlink"/>
              </w:rPr>
              <w:t>4.3.3 Prohibited Grounds</w:t>
            </w:r>
            <w:r>
              <w:rPr>
                <w:webHidden/>
              </w:rPr>
              <w:tab/>
            </w:r>
            <w:r>
              <w:rPr>
                <w:webHidden/>
              </w:rPr>
              <w:fldChar w:fldCharType="begin"/>
            </w:r>
            <w:r>
              <w:rPr>
                <w:webHidden/>
              </w:rPr>
              <w:instrText xml:space="preserve"> PAGEREF _Toc204090280 \h </w:instrText>
            </w:r>
            <w:r>
              <w:rPr>
                <w:webHidden/>
              </w:rPr>
            </w:r>
            <w:r>
              <w:rPr>
                <w:webHidden/>
              </w:rPr>
              <w:fldChar w:fldCharType="separate"/>
            </w:r>
            <w:r w:rsidR="004C0EA8">
              <w:rPr>
                <w:webHidden/>
              </w:rPr>
              <w:t>30</w:t>
            </w:r>
            <w:r>
              <w:rPr>
                <w:webHidden/>
              </w:rPr>
              <w:fldChar w:fldCharType="end"/>
            </w:r>
          </w:hyperlink>
        </w:p>
        <w:p w14:paraId="1E8C2822" w14:textId="06A9FB28" w:rsidR="00DA4786" w:rsidRDefault="00DA4786">
          <w:pPr>
            <w:pStyle w:val="TOC3"/>
            <w:rPr>
              <w:rFonts w:asciiTheme="minorHAnsi" w:eastAsiaTheme="minorEastAsia" w:hAnsiTheme="minorHAnsi"/>
              <w:lang w:eastAsia="en-CA"/>
            </w:rPr>
          </w:pPr>
          <w:hyperlink w:anchor="_Toc204090281" w:history="1">
            <w:r w:rsidRPr="000362B6">
              <w:rPr>
                <w:rStyle w:val="Hyperlink"/>
              </w:rPr>
              <w:t>4.3.4 Initial Phone Calls Received &amp; Accepted</w:t>
            </w:r>
            <w:r>
              <w:rPr>
                <w:webHidden/>
              </w:rPr>
              <w:tab/>
            </w:r>
            <w:r>
              <w:rPr>
                <w:webHidden/>
              </w:rPr>
              <w:fldChar w:fldCharType="begin"/>
            </w:r>
            <w:r>
              <w:rPr>
                <w:webHidden/>
              </w:rPr>
              <w:instrText xml:space="preserve"> PAGEREF _Toc204090281 \h </w:instrText>
            </w:r>
            <w:r>
              <w:rPr>
                <w:webHidden/>
              </w:rPr>
            </w:r>
            <w:r>
              <w:rPr>
                <w:webHidden/>
              </w:rPr>
              <w:fldChar w:fldCharType="separate"/>
            </w:r>
            <w:r w:rsidR="004C0EA8">
              <w:rPr>
                <w:webHidden/>
              </w:rPr>
              <w:t>32</w:t>
            </w:r>
            <w:r>
              <w:rPr>
                <w:webHidden/>
              </w:rPr>
              <w:fldChar w:fldCharType="end"/>
            </w:r>
          </w:hyperlink>
        </w:p>
        <w:p w14:paraId="01EC7148" w14:textId="34F21371" w:rsidR="00DA4786" w:rsidRDefault="00DA4786">
          <w:pPr>
            <w:pStyle w:val="TOC3"/>
            <w:rPr>
              <w:rFonts w:asciiTheme="minorHAnsi" w:eastAsiaTheme="minorEastAsia" w:hAnsiTheme="minorHAnsi"/>
              <w:lang w:eastAsia="en-CA"/>
            </w:rPr>
          </w:pPr>
          <w:hyperlink w:anchor="_Toc204090282" w:history="1">
            <w:r w:rsidRPr="000362B6">
              <w:rPr>
                <w:rStyle w:val="Hyperlink"/>
              </w:rPr>
              <w:t>4.3.5 French Language Services</w:t>
            </w:r>
            <w:r>
              <w:rPr>
                <w:webHidden/>
              </w:rPr>
              <w:tab/>
            </w:r>
            <w:r>
              <w:rPr>
                <w:webHidden/>
              </w:rPr>
              <w:fldChar w:fldCharType="begin"/>
            </w:r>
            <w:r>
              <w:rPr>
                <w:webHidden/>
              </w:rPr>
              <w:instrText xml:space="preserve"> PAGEREF _Toc204090282 \h </w:instrText>
            </w:r>
            <w:r>
              <w:rPr>
                <w:webHidden/>
              </w:rPr>
            </w:r>
            <w:r>
              <w:rPr>
                <w:webHidden/>
              </w:rPr>
              <w:fldChar w:fldCharType="separate"/>
            </w:r>
            <w:r w:rsidR="004C0EA8">
              <w:rPr>
                <w:webHidden/>
              </w:rPr>
              <w:t>33</w:t>
            </w:r>
            <w:r>
              <w:rPr>
                <w:webHidden/>
              </w:rPr>
              <w:fldChar w:fldCharType="end"/>
            </w:r>
          </w:hyperlink>
        </w:p>
        <w:p w14:paraId="66C2765D" w14:textId="556FCA87" w:rsidR="00DA4786" w:rsidRDefault="00DA4786">
          <w:pPr>
            <w:pStyle w:val="TOC3"/>
            <w:rPr>
              <w:rFonts w:asciiTheme="minorHAnsi" w:eastAsiaTheme="minorEastAsia" w:hAnsiTheme="minorHAnsi"/>
              <w:lang w:eastAsia="en-CA"/>
            </w:rPr>
          </w:pPr>
          <w:hyperlink w:anchor="_Toc204090283" w:history="1">
            <w:r w:rsidRPr="000362B6">
              <w:rPr>
                <w:rStyle w:val="Hyperlink"/>
              </w:rPr>
              <w:t>4.3.6 Indigenous Services</w:t>
            </w:r>
            <w:r>
              <w:rPr>
                <w:webHidden/>
              </w:rPr>
              <w:tab/>
            </w:r>
            <w:r>
              <w:rPr>
                <w:webHidden/>
              </w:rPr>
              <w:fldChar w:fldCharType="begin"/>
            </w:r>
            <w:r>
              <w:rPr>
                <w:webHidden/>
              </w:rPr>
              <w:instrText xml:space="preserve"> PAGEREF _Toc204090283 \h </w:instrText>
            </w:r>
            <w:r>
              <w:rPr>
                <w:webHidden/>
              </w:rPr>
            </w:r>
            <w:r>
              <w:rPr>
                <w:webHidden/>
              </w:rPr>
              <w:fldChar w:fldCharType="separate"/>
            </w:r>
            <w:r w:rsidR="004C0EA8">
              <w:rPr>
                <w:webHidden/>
              </w:rPr>
              <w:t>34</w:t>
            </w:r>
            <w:r>
              <w:rPr>
                <w:webHidden/>
              </w:rPr>
              <w:fldChar w:fldCharType="end"/>
            </w:r>
          </w:hyperlink>
        </w:p>
        <w:p w14:paraId="4D43AD82" w14:textId="349950AD" w:rsidR="00DA4786" w:rsidRDefault="00DA4786">
          <w:pPr>
            <w:pStyle w:val="TOC3"/>
            <w:rPr>
              <w:rFonts w:asciiTheme="minorHAnsi" w:eastAsiaTheme="minorEastAsia" w:hAnsiTheme="minorHAnsi"/>
              <w:lang w:eastAsia="en-CA"/>
            </w:rPr>
          </w:pPr>
          <w:hyperlink w:anchor="_Toc204090284" w:history="1">
            <w:r w:rsidRPr="000362B6">
              <w:rPr>
                <w:rStyle w:val="Hyperlink"/>
              </w:rPr>
              <w:t>4.3.7 Service Line for Individuals in Correctional Facilities</w:t>
            </w:r>
            <w:r>
              <w:rPr>
                <w:webHidden/>
              </w:rPr>
              <w:tab/>
            </w:r>
            <w:r>
              <w:rPr>
                <w:webHidden/>
              </w:rPr>
              <w:fldChar w:fldCharType="begin"/>
            </w:r>
            <w:r>
              <w:rPr>
                <w:webHidden/>
              </w:rPr>
              <w:instrText xml:space="preserve"> PAGEREF _Toc204090284 \h </w:instrText>
            </w:r>
            <w:r>
              <w:rPr>
                <w:webHidden/>
              </w:rPr>
            </w:r>
            <w:r>
              <w:rPr>
                <w:webHidden/>
              </w:rPr>
              <w:fldChar w:fldCharType="separate"/>
            </w:r>
            <w:r w:rsidR="004C0EA8">
              <w:rPr>
                <w:webHidden/>
              </w:rPr>
              <w:t>34</w:t>
            </w:r>
            <w:r>
              <w:rPr>
                <w:webHidden/>
              </w:rPr>
              <w:fldChar w:fldCharType="end"/>
            </w:r>
          </w:hyperlink>
        </w:p>
        <w:p w14:paraId="3864339C" w14:textId="65059BA2" w:rsidR="00DA4786" w:rsidRDefault="00DA4786">
          <w:pPr>
            <w:pStyle w:val="TOC3"/>
            <w:rPr>
              <w:rFonts w:asciiTheme="minorHAnsi" w:eastAsiaTheme="minorEastAsia" w:hAnsiTheme="minorHAnsi"/>
              <w:lang w:eastAsia="en-CA"/>
            </w:rPr>
          </w:pPr>
          <w:hyperlink w:anchor="_Toc204090285" w:history="1">
            <w:r w:rsidRPr="000362B6">
              <w:rPr>
                <w:rStyle w:val="Hyperlink"/>
              </w:rPr>
              <w:t>4.3.8 Summary Advice</w:t>
            </w:r>
            <w:r>
              <w:rPr>
                <w:webHidden/>
              </w:rPr>
              <w:tab/>
            </w:r>
            <w:r>
              <w:rPr>
                <w:webHidden/>
              </w:rPr>
              <w:fldChar w:fldCharType="begin"/>
            </w:r>
            <w:r>
              <w:rPr>
                <w:webHidden/>
              </w:rPr>
              <w:instrText xml:space="preserve"> PAGEREF _Toc204090285 \h </w:instrText>
            </w:r>
            <w:r>
              <w:rPr>
                <w:webHidden/>
              </w:rPr>
            </w:r>
            <w:r>
              <w:rPr>
                <w:webHidden/>
              </w:rPr>
              <w:fldChar w:fldCharType="separate"/>
            </w:r>
            <w:r w:rsidR="004C0EA8">
              <w:rPr>
                <w:webHidden/>
              </w:rPr>
              <w:t>35</w:t>
            </w:r>
            <w:r>
              <w:rPr>
                <w:webHidden/>
              </w:rPr>
              <w:fldChar w:fldCharType="end"/>
            </w:r>
          </w:hyperlink>
        </w:p>
        <w:p w14:paraId="771CCA46" w14:textId="19DCAA0E" w:rsidR="00DA4786" w:rsidRDefault="00DA4786">
          <w:pPr>
            <w:pStyle w:val="TOC3"/>
            <w:rPr>
              <w:rFonts w:asciiTheme="minorHAnsi" w:eastAsiaTheme="minorEastAsia" w:hAnsiTheme="minorHAnsi"/>
              <w:lang w:eastAsia="en-CA"/>
            </w:rPr>
          </w:pPr>
          <w:hyperlink w:anchor="_Toc204090286" w:history="1">
            <w:r w:rsidRPr="000362B6">
              <w:rPr>
                <w:rStyle w:val="Hyperlink"/>
              </w:rPr>
              <w:t>4.3.9 Legal Service Interviews</w:t>
            </w:r>
            <w:r>
              <w:rPr>
                <w:webHidden/>
              </w:rPr>
              <w:tab/>
            </w:r>
            <w:r>
              <w:rPr>
                <w:webHidden/>
              </w:rPr>
              <w:fldChar w:fldCharType="begin"/>
            </w:r>
            <w:r>
              <w:rPr>
                <w:webHidden/>
              </w:rPr>
              <w:instrText xml:space="preserve"> PAGEREF _Toc204090286 \h </w:instrText>
            </w:r>
            <w:r>
              <w:rPr>
                <w:webHidden/>
              </w:rPr>
            </w:r>
            <w:r>
              <w:rPr>
                <w:webHidden/>
              </w:rPr>
              <w:fldChar w:fldCharType="separate"/>
            </w:r>
            <w:r w:rsidR="004C0EA8">
              <w:rPr>
                <w:webHidden/>
              </w:rPr>
              <w:t>36</w:t>
            </w:r>
            <w:r>
              <w:rPr>
                <w:webHidden/>
              </w:rPr>
              <w:fldChar w:fldCharType="end"/>
            </w:r>
          </w:hyperlink>
        </w:p>
        <w:p w14:paraId="2688E122" w14:textId="2FE9F7D9" w:rsidR="00DA4786" w:rsidRDefault="00DA4786">
          <w:pPr>
            <w:pStyle w:val="TOC3"/>
            <w:rPr>
              <w:rFonts w:asciiTheme="minorHAnsi" w:eastAsiaTheme="minorEastAsia" w:hAnsiTheme="minorHAnsi"/>
              <w:lang w:eastAsia="en-CA"/>
            </w:rPr>
          </w:pPr>
          <w:hyperlink w:anchor="_Toc204090287" w:history="1">
            <w:r w:rsidRPr="000362B6">
              <w:rPr>
                <w:rStyle w:val="Hyperlink"/>
              </w:rPr>
              <w:t>4.3.10 Mediations Attended</w:t>
            </w:r>
            <w:r>
              <w:rPr>
                <w:webHidden/>
              </w:rPr>
              <w:tab/>
            </w:r>
            <w:r>
              <w:rPr>
                <w:webHidden/>
              </w:rPr>
              <w:fldChar w:fldCharType="begin"/>
            </w:r>
            <w:r>
              <w:rPr>
                <w:webHidden/>
              </w:rPr>
              <w:instrText xml:space="preserve"> PAGEREF _Toc204090287 \h </w:instrText>
            </w:r>
            <w:r>
              <w:rPr>
                <w:webHidden/>
              </w:rPr>
            </w:r>
            <w:r>
              <w:rPr>
                <w:webHidden/>
              </w:rPr>
              <w:fldChar w:fldCharType="separate"/>
            </w:r>
            <w:r w:rsidR="004C0EA8">
              <w:rPr>
                <w:webHidden/>
              </w:rPr>
              <w:t>38</w:t>
            </w:r>
            <w:r>
              <w:rPr>
                <w:webHidden/>
              </w:rPr>
              <w:fldChar w:fldCharType="end"/>
            </w:r>
          </w:hyperlink>
        </w:p>
        <w:p w14:paraId="6C319902" w14:textId="570E8AE6" w:rsidR="00DA4786" w:rsidRDefault="00DA4786">
          <w:pPr>
            <w:pStyle w:val="TOC3"/>
            <w:rPr>
              <w:rFonts w:asciiTheme="minorHAnsi" w:eastAsiaTheme="minorEastAsia" w:hAnsiTheme="minorHAnsi"/>
              <w:lang w:eastAsia="en-CA"/>
            </w:rPr>
          </w:pPr>
          <w:hyperlink w:anchor="_Toc204090288" w:history="1">
            <w:r w:rsidRPr="000362B6">
              <w:rPr>
                <w:rStyle w:val="Hyperlink"/>
              </w:rPr>
              <w:t>4.3.11 Hearings Attended</w:t>
            </w:r>
            <w:r>
              <w:rPr>
                <w:webHidden/>
              </w:rPr>
              <w:tab/>
            </w:r>
            <w:r>
              <w:rPr>
                <w:webHidden/>
              </w:rPr>
              <w:fldChar w:fldCharType="begin"/>
            </w:r>
            <w:r>
              <w:rPr>
                <w:webHidden/>
              </w:rPr>
              <w:instrText xml:space="preserve"> PAGEREF _Toc204090288 \h </w:instrText>
            </w:r>
            <w:r>
              <w:rPr>
                <w:webHidden/>
              </w:rPr>
            </w:r>
            <w:r>
              <w:rPr>
                <w:webHidden/>
              </w:rPr>
              <w:fldChar w:fldCharType="separate"/>
            </w:r>
            <w:r w:rsidR="004C0EA8">
              <w:rPr>
                <w:webHidden/>
              </w:rPr>
              <w:t>38</w:t>
            </w:r>
            <w:r>
              <w:rPr>
                <w:webHidden/>
              </w:rPr>
              <w:fldChar w:fldCharType="end"/>
            </w:r>
          </w:hyperlink>
        </w:p>
        <w:p w14:paraId="45C7E2C1" w14:textId="119E0D54" w:rsidR="00DA4786" w:rsidRDefault="00DA4786">
          <w:pPr>
            <w:pStyle w:val="TOC3"/>
            <w:rPr>
              <w:rFonts w:asciiTheme="minorHAnsi" w:eastAsiaTheme="minorEastAsia" w:hAnsiTheme="minorHAnsi"/>
              <w:lang w:eastAsia="en-CA"/>
            </w:rPr>
          </w:pPr>
          <w:hyperlink w:anchor="_Toc204090289" w:history="1">
            <w:r w:rsidRPr="000362B6">
              <w:rPr>
                <w:rStyle w:val="Hyperlink"/>
              </w:rPr>
              <w:t>4.3.12 Settlements</w:t>
            </w:r>
            <w:r>
              <w:rPr>
                <w:webHidden/>
              </w:rPr>
              <w:tab/>
            </w:r>
            <w:r>
              <w:rPr>
                <w:webHidden/>
              </w:rPr>
              <w:fldChar w:fldCharType="begin"/>
            </w:r>
            <w:r>
              <w:rPr>
                <w:webHidden/>
              </w:rPr>
              <w:instrText xml:space="preserve"> PAGEREF _Toc204090289 \h </w:instrText>
            </w:r>
            <w:r>
              <w:rPr>
                <w:webHidden/>
              </w:rPr>
            </w:r>
            <w:r>
              <w:rPr>
                <w:webHidden/>
              </w:rPr>
              <w:fldChar w:fldCharType="separate"/>
            </w:r>
            <w:r w:rsidR="004C0EA8">
              <w:rPr>
                <w:webHidden/>
              </w:rPr>
              <w:t>40</w:t>
            </w:r>
            <w:r>
              <w:rPr>
                <w:webHidden/>
              </w:rPr>
              <w:fldChar w:fldCharType="end"/>
            </w:r>
          </w:hyperlink>
        </w:p>
        <w:p w14:paraId="2052D7DD" w14:textId="6A73ECC1" w:rsidR="00DA4786" w:rsidRDefault="00DA4786">
          <w:pPr>
            <w:pStyle w:val="TOC1"/>
            <w:tabs>
              <w:tab w:val="left" w:pos="480"/>
            </w:tabs>
            <w:rPr>
              <w:rFonts w:asciiTheme="minorHAnsi" w:eastAsiaTheme="minorEastAsia" w:hAnsiTheme="minorHAnsi"/>
              <w:noProof/>
              <w:lang w:eastAsia="en-CA"/>
            </w:rPr>
          </w:pPr>
          <w:hyperlink w:anchor="_Toc204090290" w:history="1">
            <w:r w:rsidRPr="000362B6">
              <w:rPr>
                <w:rStyle w:val="Hyperlink"/>
                <w:noProof/>
              </w:rPr>
              <w:t>5.</w:t>
            </w:r>
            <w:r>
              <w:rPr>
                <w:rFonts w:asciiTheme="minorHAnsi" w:eastAsiaTheme="minorEastAsia" w:hAnsiTheme="minorHAnsi"/>
                <w:noProof/>
                <w:lang w:eastAsia="en-CA"/>
              </w:rPr>
              <w:tab/>
            </w:r>
            <w:r w:rsidRPr="000362B6">
              <w:rPr>
                <w:rStyle w:val="Hyperlink"/>
                <w:noProof/>
              </w:rPr>
              <w:t>Performance Measures</w:t>
            </w:r>
            <w:r>
              <w:rPr>
                <w:noProof/>
                <w:webHidden/>
              </w:rPr>
              <w:tab/>
            </w:r>
            <w:r>
              <w:rPr>
                <w:noProof/>
                <w:webHidden/>
              </w:rPr>
              <w:fldChar w:fldCharType="begin"/>
            </w:r>
            <w:r>
              <w:rPr>
                <w:noProof/>
                <w:webHidden/>
              </w:rPr>
              <w:instrText xml:space="preserve"> PAGEREF _Toc204090290 \h </w:instrText>
            </w:r>
            <w:r>
              <w:rPr>
                <w:noProof/>
                <w:webHidden/>
              </w:rPr>
            </w:r>
            <w:r>
              <w:rPr>
                <w:noProof/>
                <w:webHidden/>
              </w:rPr>
              <w:fldChar w:fldCharType="separate"/>
            </w:r>
            <w:r w:rsidR="004C0EA8">
              <w:rPr>
                <w:noProof/>
                <w:webHidden/>
              </w:rPr>
              <w:t>41</w:t>
            </w:r>
            <w:r>
              <w:rPr>
                <w:noProof/>
                <w:webHidden/>
              </w:rPr>
              <w:fldChar w:fldCharType="end"/>
            </w:r>
          </w:hyperlink>
        </w:p>
        <w:p w14:paraId="252FF348" w14:textId="70570033" w:rsidR="00DA4786" w:rsidRDefault="00DA4786">
          <w:pPr>
            <w:pStyle w:val="TOC2"/>
            <w:tabs>
              <w:tab w:val="right" w:leader="dot" w:pos="9350"/>
            </w:tabs>
            <w:rPr>
              <w:rFonts w:asciiTheme="minorHAnsi" w:eastAsiaTheme="minorEastAsia" w:hAnsiTheme="minorHAnsi"/>
              <w:noProof/>
              <w:lang w:eastAsia="en-CA"/>
            </w:rPr>
          </w:pPr>
          <w:hyperlink w:anchor="_Toc204090291" w:history="1">
            <w:r w:rsidRPr="000362B6">
              <w:rPr>
                <w:rStyle w:val="Hyperlink"/>
                <w:noProof/>
              </w:rPr>
              <w:t>5.1 OBP Performance Measures, Targets &amp; Results for 2024–2025</w:t>
            </w:r>
            <w:r>
              <w:rPr>
                <w:noProof/>
                <w:webHidden/>
              </w:rPr>
              <w:tab/>
            </w:r>
            <w:r>
              <w:rPr>
                <w:noProof/>
                <w:webHidden/>
              </w:rPr>
              <w:fldChar w:fldCharType="begin"/>
            </w:r>
            <w:r>
              <w:rPr>
                <w:noProof/>
                <w:webHidden/>
              </w:rPr>
              <w:instrText xml:space="preserve"> PAGEREF _Toc204090291 \h </w:instrText>
            </w:r>
            <w:r>
              <w:rPr>
                <w:noProof/>
                <w:webHidden/>
              </w:rPr>
            </w:r>
            <w:r>
              <w:rPr>
                <w:noProof/>
                <w:webHidden/>
              </w:rPr>
              <w:fldChar w:fldCharType="separate"/>
            </w:r>
            <w:r w:rsidR="004C0EA8">
              <w:rPr>
                <w:noProof/>
                <w:webHidden/>
              </w:rPr>
              <w:t>41</w:t>
            </w:r>
            <w:r>
              <w:rPr>
                <w:noProof/>
                <w:webHidden/>
              </w:rPr>
              <w:fldChar w:fldCharType="end"/>
            </w:r>
          </w:hyperlink>
        </w:p>
        <w:p w14:paraId="4FC28AB6" w14:textId="6ED70821" w:rsidR="00DA4786" w:rsidRDefault="00DA4786">
          <w:pPr>
            <w:pStyle w:val="TOC2"/>
            <w:tabs>
              <w:tab w:val="right" w:leader="dot" w:pos="9350"/>
            </w:tabs>
            <w:rPr>
              <w:rFonts w:asciiTheme="minorHAnsi" w:eastAsiaTheme="minorEastAsia" w:hAnsiTheme="minorHAnsi"/>
              <w:noProof/>
              <w:lang w:eastAsia="en-CA"/>
            </w:rPr>
          </w:pPr>
          <w:hyperlink w:anchor="_Toc204090298" w:history="1">
            <w:r w:rsidRPr="000362B6">
              <w:rPr>
                <w:rStyle w:val="Hyperlink"/>
                <w:noProof/>
              </w:rPr>
              <w:t>5.2 Additional KPIs</w:t>
            </w:r>
            <w:r>
              <w:rPr>
                <w:noProof/>
                <w:webHidden/>
              </w:rPr>
              <w:tab/>
            </w:r>
            <w:r>
              <w:rPr>
                <w:noProof/>
                <w:webHidden/>
              </w:rPr>
              <w:fldChar w:fldCharType="begin"/>
            </w:r>
            <w:r>
              <w:rPr>
                <w:noProof/>
                <w:webHidden/>
              </w:rPr>
              <w:instrText xml:space="preserve"> PAGEREF _Toc204090298 \h </w:instrText>
            </w:r>
            <w:r>
              <w:rPr>
                <w:noProof/>
                <w:webHidden/>
              </w:rPr>
            </w:r>
            <w:r>
              <w:rPr>
                <w:noProof/>
                <w:webHidden/>
              </w:rPr>
              <w:fldChar w:fldCharType="separate"/>
            </w:r>
            <w:r w:rsidR="004C0EA8">
              <w:rPr>
                <w:noProof/>
                <w:webHidden/>
              </w:rPr>
              <w:t>44</w:t>
            </w:r>
            <w:r>
              <w:rPr>
                <w:noProof/>
                <w:webHidden/>
              </w:rPr>
              <w:fldChar w:fldCharType="end"/>
            </w:r>
          </w:hyperlink>
        </w:p>
        <w:p w14:paraId="0F7C3DBC" w14:textId="592008AF" w:rsidR="00DA4786" w:rsidRDefault="00DA4786">
          <w:pPr>
            <w:pStyle w:val="TOC1"/>
            <w:tabs>
              <w:tab w:val="left" w:pos="480"/>
            </w:tabs>
            <w:rPr>
              <w:rFonts w:asciiTheme="minorHAnsi" w:eastAsiaTheme="minorEastAsia" w:hAnsiTheme="minorHAnsi"/>
              <w:noProof/>
              <w:lang w:eastAsia="en-CA"/>
            </w:rPr>
          </w:pPr>
          <w:hyperlink w:anchor="_Toc204090303" w:history="1">
            <w:r w:rsidRPr="000362B6">
              <w:rPr>
                <w:rStyle w:val="Hyperlink"/>
                <w:noProof/>
              </w:rPr>
              <w:t>6.</w:t>
            </w:r>
            <w:r>
              <w:rPr>
                <w:rFonts w:asciiTheme="minorHAnsi" w:eastAsiaTheme="minorEastAsia" w:hAnsiTheme="minorHAnsi"/>
                <w:noProof/>
                <w:lang w:eastAsia="en-CA"/>
              </w:rPr>
              <w:tab/>
            </w:r>
            <w:r w:rsidRPr="000362B6">
              <w:rPr>
                <w:rStyle w:val="Hyperlink"/>
                <w:noProof/>
              </w:rPr>
              <w:t>Mandate Letter Priorities</w:t>
            </w:r>
            <w:r>
              <w:rPr>
                <w:noProof/>
                <w:webHidden/>
              </w:rPr>
              <w:tab/>
            </w:r>
            <w:r>
              <w:rPr>
                <w:noProof/>
                <w:webHidden/>
              </w:rPr>
              <w:fldChar w:fldCharType="begin"/>
            </w:r>
            <w:r>
              <w:rPr>
                <w:noProof/>
                <w:webHidden/>
              </w:rPr>
              <w:instrText xml:space="preserve"> PAGEREF _Toc204090303 \h </w:instrText>
            </w:r>
            <w:r>
              <w:rPr>
                <w:noProof/>
                <w:webHidden/>
              </w:rPr>
            </w:r>
            <w:r>
              <w:rPr>
                <w:noProof/>
                <w:webHidden/>
              </w:rPr>
              <w:fldChar w:fldCharType="separate"/>
            </w:r>
            <w:r w:rsidR="004C0EA8">
              <w:rPr>
                <w:noProof/>
                <w:webHidden/>
              </w:rPr>
              <w:t>47</w:t>
            </w:r>
            <w:r>
              <w:rPr>
                <w:noProof/>
                <w:webHidden/>
              </w:rPr>
              <w:fldChar w:fldCharType="end"/>
            </w:r>
          </w:hyperlink>
        </w:p>
        <w:p w14:paraId="2C590541" w14:textId="5E56F5DC" w:rsidR="00DA4786" w:rsidRDefault="00DA4786">
          <w:pPr>
            <w:pStyle w:val="TOC2"/>
            <w:tabs>
              <w:tab w:val="right" w:leader="dot" w:pos="9350"/>
            </w:tabs>
            <w:rPr>
              <w:rFonts w:asciiTheme="minorHAnsi" w:eastAsiaTheme="minorEastAsia" w:hAnsiTheme="minorHAnsi"/>
              <w:noProof/>
              <w:lang w:eastAsia="en-CA"/>
            </w:rPr>
          </w:pPr>
          <w:hyperlink w:anchor="_Toc204090304" w:history="1">
            <w:r w:rsidRPr="000362B6">
              <w:rPr>
                <w:rStyle w:val="Hyperlink"/>
                <w:noProof/>
              </w:rPr>
              <w:t>6.1 HRLSC Specific Priorities</w:t>
            </w:r>
            <w:r>
              <w:rPr>
                <w:noProof/>
                <w:webHidden/>
              </w:rPr>
              <w:tab/>
            </w:r>
            <w:r>
              <w:rPr>
                <w:noProof/>
                <w:webHidden/>
              </w:rPr>
              <w:fldChar w:fldCharType="begin"/>
            </w:r>
            <w:r>
              <w:rPr>
                <w:noProof/>
                <w:webHidden/>
              </w:rPr>
              <w:instrText xml:space="preserve"> PAGEREF _Toc204090304 \h </w:instrText>
            </w:r>
            <w:r>
              <w:rPr>
                <w:noProof/>
                <w:webHidden/>
              </w:rPr>
            </w:r>
            <w:r>
              <w:rPr>
                <w:noProof/>
                <w:webHidden/>
              </w:rPr>
              <w:fldChar w:fldCharType="separate"/>
            </w:r>
            <w:r w:rsidR="004C0EA8">
              <w:rPr>
                <w:noProof/>
                <w:webHidden/>
              </w:rPr>
              <w:t>47</w:t>
            </w:r>
            <w:r>
              <w:rPr>
                <w:noProof/>
                <w:webHidden/>
              </w:rPr>
              <w:fldChar w:fldCharType="end"/>
            </w:r>
          </w:hyperlink>
        </w:p>
        <w:p w14:paraId="0E032D7A" w14:textId="578C398E" w:rsidR="00DA4786" w:rsidRDefault="00DA4786">
          <w:pPr>
            <w:pStyle w:val="TOC2"/>
            <w:tabs>
              <w:tab w:val="right" w:leader="dot" w:pos="9350"/>
            </w:tabs>
            <w:rPr>
              <w:rFonts w:asciiTheme="minorHAnsi" w:eastAsiaTheme="minorEastAsia" w:hAnsiTheme="minorHAnsi"/>
              <w:noProof/>
              <w:lang w:eastAsia="en-CA"/>
            </w:rPr>
          </w:pPr>
          <w:hyperlink w:anchor="_Toc204090306" w:history="1">
            <w:r w:rsidRPr="000362B6">
              <w:rPr>
                <w:rStyle w:val="Hyperlink"/>
                <w:noProof/>
              </w:rPr>
              <w:t>6.2 Government-wide Priorities for Board-Governed Provincial Agencies</w:t>
            </w:r>
            <w:r>
              <w:rPr>
                <w:noProof/>
                <w:webHidden/>
              </w:rPr>
              <w:tab/>
            </w:r>
            <w:r>
              <w:rPr>
                <w:noProof/>
                <w:webHidden/>
              </w:rPr>
              <w:fldChar w:fldCharType="begin"/>
            </w:r>
            <w:r>
              <w:rPr>
                <w:noProof/>
                <w:webHidden/>
              </w:rPr>
              <w:instrText xml:space="preserve"> PAGEREF _Toc204090306 \h </w:instrText>
            </w:r>
            <w:r>
              <w:rPr>
                <w:noProof/>
                <w:webHidden/>
              </w:rPr>
            </w:r>
            <w:r>
              <w:rPr>
                <w:noProof/>
                <w:webHidden/>
              </w:rPr>
              <w:fldChar w:fldCharType="separate"/>
            </w:r>
            <w:r w:rsidR="004C0EA8">
              <w:rPr>
                <w:noProof/>
                <w:webHidden/>
              </w:rPr>
              <w:t>48</w:t>
            </w:r>
            <w:r>
              <w:rPr>
                <w:noProof/>
                <w:webHidden/>
              </w:rPr>
              <w:fldChar w:fldCharType="end"/>
            </w:r>
          </w:hyperlink>
        </w:p>
        <w:p w14:paraId="3A5EB020" w14:textId="529C7980" w:rsidR="00DA4786" w:rsidRDefault="00DA4786">
          <w:pPr>
            <w:pStyle w:val="TOC1"/>
            <w:tabs>
              <w:tab w:val="left" w:pos="480"/>
            </w:tabs>
            <w:rPr>
              <w:rFonts w:asciiTheme="minorHAnsi" w:eastAsiaTheme="minorEastAsia" w:hAnsiTheme="minorHAnsi"/>
              <w:noProof/>
              <w:lang w:eastAsia="en-CA"/>
            </w:rPr>
          </w:pPr>
          <w:hyperlink w:anchor="_Toc204090314" w:history="1">
            <w:r w:rsidRPr="000362B6">
              <w:rPr>
                <w:rStyle w:val="Hyperlink"/>
                <w:noProof/>
              </w:rPr>
              <w:t>7.</w:t>
            </w:r>
            <w:r>
              <w:rPr>
                <w:rFonts w:asciiTheme="minorHAnsi" w:eastAsiaTheme="minorEastAsia" w:hAnsiTheme="minorHAnsi"/>
                <w:noProof/>
                <w:lang w:eastAsia="en-CA"/>
              </w:rPr>
              <w:tab/>
            </w:r>
            <w:r w:rsidRPr="000362B6">
              <w:rPr>
                <w:rStyle w:val="Hyperlink"/>
                <w:noProof/>
              </w:rPr>
              <w:t>Risk Events</w:t>
            </w:r>
            <w:r>
              <w:rPr>
                <w:noProof/>
                <w:webHidden/>
              </w:rPr>
              <w:tab/>
            </w:r>
            <w:r>
              <w:rPr>
                <w:noProof/>
                <w:webHidden/>
              </w:rPr>
              <w:fldChar w:fldCharType="begin"/>
            </w:r>
            <w:r>
              <w:rPr>
                <w:noProof/>
                <w:webHidden/>
              </w:rPr>
              <w:instrText xml:space="preserve"> PAGEREF _Toc204090314 \h </w:instrText>
            </w:r>
            <w:r>
              <w:rPr>
                <w:noProof/>
                <w:webHidden/>
              </w:rPr>
            </w:r>
            <w:r>
              <w:rPr>
                <w:noProof/>
                <w:webHidden/>
              </w:rPr>
              <w:fldChar w:fldCharType="separate"/>
            </w:r>
            <w:r w:rsidR="004C0EA8">
              <w:rPr>
                <w:noProof/>
                <w:webHidden/>
              </w:rPr>
              <w:t>54</w:t>
            </w:r>
            <w:r>
              <w:rPr>
                <w:noProof/>
                <w:webHidden/>
              </w:rPr>
              <w:fldChar w:fldCharType="end"/>
            </w:r>
          </w:hyperlink>
        </w:p>
        <w:p w14:paraId="7ED1C742" w14:textId="6156162E" w:rsidR="00DA4786" w:rsidRDefault="00DA4786">
          <w:pPr>
            <w:pStyle w:val="TOC1"/>
            <w:tabs>
              <w:tab w:val="left" w:pos="480"/>
            </w:tabs>
            <w:rPr>
              <w:rFonts w:asciiTheme="minorHAnsi" w:eastAsiaTheme="minorEastAsia" w:hAnsiTheme="minorHAnsi"/>
              <w:noProof/>
              <w:lang w:eastAsia="en-CA"/>
            </w:rPr>
          </w:pPr>
          <w:hyperlink w:anchor="_Toc204090320" w:history="1">
            <w:r w:rsidRPr="000362B6">
              <w:rPr>
                <w:rStyle w:val="Hyperlink"/>
                <w:noProof/>
              </w:rPr>
              <w:t>8.</w:t>
            </w:r>
            <w:r>
              <w:rPr>
                <w:rFonts w:asciiTheme="minorHAnsi" w:eastAsiaTheme="minorEastAsia" w:hAnsiTheme="minorHAnsi"/>
                <w:noProof/>
                <w:lang w:eastAsia="en-CA"/>
              </w:rPr>
              <w:tab/>
            </w:r>
            <w:r w:rsidRPr="000362B6">
              <w:rPr>
                <w:rStyle w:val="Hyperlink"/>
                <w:noProof/>
              </w:rPr>
              <w:t>HR Impact</w:t>
            </w:r>
            <w:r>
              <w:rPr>
                <w:noProof/>
                <w:webHidden/>
              </w:rPr>
              <w:tab/>
            </w:r>
            <w:r>
              <w:rPr>
                <w:noProof/>
                <w:webHidden/>
              </w:rPr>
              <w:fldChar w:fldCharType="begin"/>
            </w:r>
            <w:r>
              <w:rPr>
                <w:noProof/>
                <w:webHidden/>
              </w:rPr>
              <w:instrText xml:space="preserve"> PAGEREF _Toc204090320 \h </w:instrText>
            </w:r>
            <w:r>
              <w:rPr>
                <w:noProof/>
                <w:webHidden/>
              </w:rPr>
            </w:r>
            <w:r>
              <w:rPr>
                <w:noProof/>
                <w:webHidden/>
              </w:rPr>
              <w:fldChar w:fldCharType="separate"/>
            </w:r>
            <w:r w:rsidR="004C0EA8">
              <w:rPr>
                <w:noProof/>
                <w:webHidden/>
              </w:rPr>
              <w:t>57</w:t>
            </w:r>
            <w:r>
              <w:rPr>
                <w:noProof/>
                <w:webHidden/>
              </w:rPr>
              <w:fldChar w:fldCharType="end"/>
            </w:r>
          </w:hyperlink>
        </w:p>
        <w:p w14:paraId="50D63998" w14:textId="45F24C67" w:rsidR="00DA4786" w:rsidRDefault="00DA4786">
          <w:pPr>
            <w:pStyle w:val="TOC1"/>
            <w:tabs>
              <w:tab w:val="left" w:pos="480"/>
            </w:tabs>
            <w:rPr>
              <w:rFonts w:asciiTheme="minorHAnsi" w:eastAsiaTheme="minorEastAsia" w:hAnsiTheme="minorHAnsi"/>
              <w:noProof/>
              <w:lang w:eastAsia="en-CA"/>
            </w:rPr>
          </w:pPr>
          <w:hyperlink w:anchor="_Toc204090321" w:history="1">
            <w:r w:rsidRPr="000362B6">
              <w:rPr>
                <w:rStyle w:val="Hyperlink"/>
                <w:noProof/>
              </w:rPr>
              <w:t>9.</w:t>
            </w:r>
            <w:r>
              <w:rPr>
                <w:rFonts w:asciiTheme="minorHAnsi" w:eastAsiaTheme="minorEastAsia" w:hAnsiTheme="minorHAnsi"/>
                <w:noProof/>
                <w:lang w:eastAsia="en-CA"/>
              </w:rPr>
              <w:tab/>
            </w:r>
            <w:r w:rsidRPr="000362B6">
              <w:rPr>
                <w:rStyle w:val="Hyperlink"/>
                <w:noProof/>
              </w:rPr>
              <w:t>Financial Analysis</w:t>
            </w:r>
            <w:r>
              <w:rPr>
                <w:noProof/>
                <w:webHidden/>
              </w:rPr>
              <w:tab/>
            </w:r>
            <w:r>
              <w:rPr>
                <w:noProof/>
                <w:webHidden/>
              </w:rPr>
              <w:fldChar w:fldCharType="begin"/>
            </w:r>
            <w:r>
              <w:rPr>
                <w:noProof/>
                <w:webHidden/>
              </w:rPr>
              <w:instrText xml:space="preserve"> PAGEREF _Toc204090321 \h </w:instrText>
            </w:r>
            <w:r>
              <w:rPr>
                <w:noProof/>
                <w:webHidden/>
              </w:rPr>
            </w:r>
            <w:r>
              <w:rPr>
                <w:noProof/>
                <w:webHidden/>
              </w:rPr>
              <w:fldChar w:fldCharType="separate"/>
            </w:r>
            <w:r w:rsidR="004C0EA8">
              <w:rPr>
                <w:noProof/>
                <w:webHidden/>
              </w:rPr>
              <w:t>59</w:t>
            </w:r>
            <w:r>
              <w:rPr>
                <w:noProof/>
                <w:webHidden/>
              </w:rPr>
              <w:fldChar w:fldCharType="end"/>
            </w:r>
          </w:hyperlink>
        </w:p>
        <w:p w14:paraId="711E7776" w14:textId="2667DF5A" w:rsidR="00DA4786" w:rsidRDefault="00DA4786">
          <w:pPr>
            <w:pStyle w:val="TOC1"/>
            <w:tabs>
              <w:tab w:val="left" w:pos="720"/>
            </w:tabs>
            <w:rPr>
              <w:rFonts w:asciiTheme="minorHAnsi" w:eastAsiaTheme="minorEastAsia" w:hAnsiTheme="minorHAnsi"/>
              <w:noProof/>
              <w:lang w:eastAsia="en-CA"/>
            </w:rPr>
          </w:pPr>
          <w:hyperlink w:anchor="_Toc204090324" w:history="1">
            <w:r w:rsidRPr="000362B6">
              <w:rPr>
                <w:rStyle w:val="Hyperlink"/>
                <w:noProof/>
              </w:rPr>
              <w:t>10.</w:t>
            </w:r>
            <w:r>
              <w:rPr>
                <w:rFonts w:asciiTheme="minorHAnsi" w:eastAsiaTheme="minorEastAsia" w:hAnsiTheme="minorHAnsi"/>
                <w:noProof/>
                <w:lang w:eastAsia="en-CA"/>
              </w:rPr>
              <w:tab/>
            </w:r>
            <w:r w:rsidRPr="000362B6">
              <w:rPr>
                <w:rStyle w:val="Hyperlink"/>
                <w:noProof/>
              </w:rPr>
              <w:t>HRLSC Board of Directors Remunerations</w:t>
            </w:r>
            <w:r>
              <w:rPr>
                <w:noProof/>
                <w:webHidden/>
              </w:rPr>
              <w:tab/>
            </w:r>
            <w:r>
              <w:rPr>
                <w:noProof/>
                <w:webHidden/>
              </w:rPr>
              <w:fldChar w:fldCharType="begin"/>
            </w:r>
            <w:r>
              <w:rPr>
                <w:noProof/>
                <w:webHidden/>
              </w:rPr>
              <w:instrText xml:space="preserve"> PAGEREF _Toc204090324 \h </w:instrText>
            </w:r>
            <w:r>
              <w:rPr>
                <w:noProof/>
                <w:webHidden/>
              </w:rPr>
            </w:r>
            <w:r>
              <w:rPr>
                <w:noProof/>
                <w:webHidden/>
              </w:rPr>
              <w:fldChar w:fldCharType="separate"/>
            </w:r>
            <w:r w:rsidR="004C0EA8">
              <w:rPr>
                <w:noProof/>
                <w:webHidden/>
              </w:rPr>
              <w:t>62</w:t>
            </w:r>
            <w:r>
              <w:rPr>
                <w:noProof/>
                <w:webHidden/>
              </w:rPr>
              <w:fldChar w:fldCharType="end"/>
            </w:r>
          </w:hyperlink>
        </w:p>
        <w:p w14:paraId="1A576D54" w14:textId="11D34F09" w:rsidR="00DA4786" w:rsidRDefault="00DA4786">
          <w:pPr>
            <w:pStyle w:val="TOC1"/>
            <w:rPr>
              <w:rFonts w:asciiTheme="minorHAnsi" w:eastAsiaTheme="minorEastAsia" w:hAnsiTheme="minorHAnsi"/>
              <w:noProof/>
              <w:lang w:eastAsia="en-CA"/>
            </w:rPr>
          </w:pPr>
          <w:hyperlink w:anchor="_Toc204090326" w:history="1">
            <w:r w:rsidRPr="000362B6">
              <w:rPr>
                <w:rStyle w:val="Hyperlink"/>
                <w:noProof/>
              </w:rPr>
              <w:t>Audited Financial Statements</w:t>
            </w:r>
            <w:r>
              <w:rPr>
                <w:noProof/>
                <w:webHidden/>
              </w:rPr>
              <w:tab/>
            </w:r>
            <w:r>
              <w:rPr>
                <w:noProof/>
                <w:webHidden/>
              </w:rPr>
              <w:fldChar w:fldCharType="begin"/>
            </w:r>
            <w:r>
              <w:rPr>
                <w:noProof/>
                <w:webHidden/>
              </w:rPr>
              <w:instrText xml:space="preserve"> PAGEREF _Toc204090326 \h </w:instrText>
            </w:r>
            <w:r>
              <w:rPr>
                <w:noProof/>
                <w:webHidden/>
              </w:rPr>
            </w:r>
            <w:r>
              <w:rPr>
                <w:noProof/>
                <w:webHidden/>
              </w:rPr>
              <w:fldChar w:fldCharType="separate"/>
            </w:r>
            <w:r w:rsidR="004C0EA8">
              <w:rPr>
                <w:noProof/>
                <w:webHidden/>
              </w:rPr>
              <w:t>64</w:t>
            </w:r>
            <w:r>
              <w:rPr>
                <w:noProof/>
                <w:webHidden/>
              </w:rPr>
              <w:fldChar w:fldCharType="end"/>
            </w:r>
          </w:hyperlink>
        </w:p>
        <w:p w14:paraId="48595B63" w14:textId="2709DF06" w:rsidR="00DD5A08" w:rsidRDefault="00DD5A08">
          <w:r>
            <w:rPr>
              <w:b/>
              <w:bCs/>
              <w:noProof/>
            </w:rPr>
            <w:fldChar w:fldCharType="end"/>
          </w:r>
        </w:p>
      </w:sdtContent>
    </w:sdt>
    <w:p w14:paraId="7297BBA5" w14:textId="77777777" w:rsidR="000E6BCB" w:rsidRDefault="00010375" w:rsidP="00010375">
      <w:pPr>
        <w:sectPr w:rsidR="000E6BCB" w:rsidSect="000E6BCB">
          <w:footerReference w:type="default" r:id="rId13"/>
          <w:headerReference w:type="first" r:id="rId14"/>
          <w:footerReference w:type="first" r:id="rId15"/>
          <w:pgSz w:w="12240" w:h="15840" w:code="1"/>
          <w:pgMar w:top="1440" w:right="1440" w:bottom="1440" w:left="1440" w:header="720" w:footer="720" w:gutter="0"/>
          <w:pgNumType w:fmt="lowerRoman" w:start="0"/>
          <w:cols w:space="720"/>
          <w:titlePg/>
          <w:docGrid w:linePitch="360"/>
        </w:sectPr>
      </w:pPr>
      <w:r w:rsidRPr="00CB687E">
        <w:br w:type="page"/>
      </w:r>
    </w:p>
    <w:p w14:paraId="44452EA1" w14:textId="2D864418" w:rsidR="0050479D" w:rsidRPr="00CB687E" w:rsidRDefault="00714ADA" w:rsidP="00D35098">
      <w:pPr>
        <w:pStyle w:val="Heading1"/>
        <w:numPr>
          <w:ilvl w:val="0"/>
          <w:numId w:val="14"/>
        </w:numPr>
      </w:pPr>
      <w:bookmarkStart w:id="7" w:name="_Toc204090245"/>
      <w:r w:rsidRPr="00CB687E">
        <w:lastRenderedPageBreak/>
        <w:t xml:space="preserve">Opening </w:t>
      </w:r>
      <w:r w:rsidR="0050479D" w:rsidRPr="00CB687E">
        <w:t>Messages</w:t>
      </w:r>
      <w:bookmarkEnd w:id="7"/>
    </w:p>
    <w:p w14:paraId="5DBD053D" w14:textId="03A4FCA4" w:rsidR="00707CA2" w:rsidRPr="00CB687E" w:rsidRDefault="00707CA2" w:rsidP="00707CA2">
      <w:pPr>
        <w:pStyle w:val="Heading2"/>
      </w:pPr>
      <w:bookmarkStart w:id="8" w:name="_Toc201753972"/>
      <w:bookmarkStart w:id="9" w:name="_Toc204090246"/>
      <w:r w:rsidRPr="00CB687E">
        <w:t xml:space="preserve">Message from </w:t>
      </w:r>
      <w:r w:rsidR="005E3D68" w:rsidRPr="00CB687E">
        <w:t xml:space="preserve">our </w:t>
      </w:r>
      <w:r w:rsidRPr="00CB687E">
        <w:t>Chair</w:t>
      </w:r>
      <w:bookmarkEnd w:id="8"/>
      <w:bookmarkEnd w:id="9"/>
    </w:p>
    <w:p w14:paraId="5DD41DE8" w14:textId="72804D38" w:rsidR="00707CA2" w:rsidRPr="00CB687E" w:rsidRDefault="00707CA2" w:rsidP="00DB6A67">
      <w:pPr>
        <w:jc w:val="both"/>
      </w:pPr>
      <w:r w:rsidRPr="00CB687E">
        <w:t xml:space="preserve">This year marks a momentous transition for the Human Rights Legal Support Centre (HRLSC) as we look ahead with renewed purpose and clarity, guided by the launch of our </w:t>
      </w:r>
      <w:hyperlink r:id="rId16" w:history="1">
        <w:r w:rsidRPr="009B65A0">
          <w:rPr>
            <w:rStyle w:val="Hyperlink"/>
          </w:rPr>
          <w:t>2024</w:t>
        </w:r>
        <w:r w:rsidR="009B65A0" w:rsidRPr="009B65A0">
          <w:rPr>
            <w:rStyle w:val="Hyperlink"/>
          </w:rPr>
          <w:t>–</w:t>
        </w:r>
        <w:r w:rsidRPr="009B65A0">
          <w:rPr>
            <w:rStyle w:val="Hyperlink"/>
          </w:rPr>
          <w:t xml:space="preserve">2029 </w:t>
        </w:r>
        <w:r w:rsidRPr="009B65A0">
          <w:rPr>
            <w:rStyle w:val="Hyperlink"/>
            <w:b/>
            <w:bCs/>
          </w:rPr>
          <w:t>Strategic Plan</w:t>
        </w:r>
      </w:hyperlink>
      <w:r w:rsidRPr="00CB687E">
        <w:t xml:space="preserve">. This </w:t>
      </w:r>
      <w:r w:rsidR="007C3C68" w:rsidRPr="00CB687E">
        <w:t xml:space="preserve">Plan </w:t>
      </w:r>
      <w:r w:rsidRPr="00CB687E">
        <w:t>is more than an operational roadmap—it is a bold commitment to propel the HRLSC’s digital impact,</w:t>
      </w:r>
      <w:r w:rsidR="000D3125" w:rsidRPr="00CB687E">
        <w:t xml:space="preserve"> to</w:t>
      </w:r>
      <w:r w:rsidRPr="00CB687E">
        <w:t xml:space="preserve"> deepen and expand our human rights reach, and </w:t>
      </w:r>
      <w:r w:rsidR="000D3125" w:rsidRPr="00CB687E">
        <w:t xml:space="preserve">to </w:t>
      </w:r>
      <w:r w:rsidRPr="00CB687E">
        <w:t>lead with principled intention with a view of moving our services along with the modern imperatives of this decade.</w:t>
      </w:r>
    </w:p>
    <w:p w14:paraId="2D8C26BF" w14:textId="7FE8DB46" w:rsidR="00707CA2" w:rsidRPr="00CB687E" w:rsidRDefault="00707CA2" w:rsidP="00DB6A67">
      <w:pPr>
        <w:jc w:val="both"/>
      </w:pPr>
      <w:r w:rsidRPr="00CB687E">
        <w:t xml:space="preserve">From our inception over </w:t>
      </w:r>
      <w:r w:rsidR="00FB20CC" w:rsidRPr="00CB687E">
        <w:t xml:space="preserve">16 </w:t>
      </w:r>
      <w:r w:rsidRPr="00CB687E">
        <w:t>years ago, at the heart of the HRLSC’s work is a simple but powerful truth: human rights are not just legal principles—they are inalienable values to be lived in our daily experiences. Every day, the HRLSC team supports individuals throughout the Province facing discrimination and harassment, helping them navigate complicated relationships and systems and seek justice for their inherent right to live with equity and respect. The HRLSC is increasingly called upon to identify systemic gaps, influence and advance jurisprudence, and advocate for reforms that benefit all</w:t>
      </w:r>
      <w:r w:rsidR="00CD3BAC" w:rsidRPr="6369C861">
        <w:rPr>
          <w:rFonts w:ascii="Arial" w:hAnsi="Arial" w:cs="Arial"/>
          <w:color w:val="001D35"/>
          <w:sz w:val="27"/>
          <w:szCs w:val="27"/>
        </w:rPr>
        <w:t xml:space="preserve"> </w:t>
      </w:r>
      <w:r w:rsidR="00CD3BAC" w:rsidRPr="00B74A3D">
        <w:t>—</w:t>
      </w:r>
      <w:r w:rsidRPr="00CB687E">
        <w:t xml:space="preserve"> but especially marginalized, communities in Ontario.</w:t>
      </w:r>
    </w:p>
    <w:p w14:paraId="74B74294" w14:textId="77777777" w:rsidR="00707CA2" w:rsidRPr="00CB687E" w:rsidRDefault="00707CA2" w:rsidP="00DB6A67">
      <w:pPr>
        <w:jc w:val="both"/>
      </w:pPr>
      <w:r w:rsidRPr="00CB687E">
        <w:t>This year, we saw the power of that approach in action through a number of significant legal victories:</w:t>
      </w:r>
    </w:p>
    <w:p w14:paraId="358215C3" w14:textId="3F342E02" w:rsidR="00707CA2" w:rsidRPr="00CB687E" w:rsidRDefault="00707CA2" w:rsidP="00DB6A67">
      <w:pPr>
        <w:numPr>
          <w:ilvl w:val="0"/>
          <w:numId w:val="15"/>
        </w:numPr>
        <w:jc w:val="both"/>
      </w:pPr>
      <w:r w:rsidRPr="00CB687E">
        <w:t>In </w:t>
      </w:r>
      <w:r w:rsidRPr="00CB687E">
        <w:rPr>
          <w:b/>
          <w:bCs/>
        </w:rPr>
        <w:t>Powell v. Ontario</w:t>
      </w:r>
      <w:r w:rsidRPr="00CB687E">
        <w:t>, the H</w:t>
      </w:r>
      <w:r w:rsidR="00241D11" w:rsidRPr="00CB687E">
        <w:t xml:space="preserve">uman </w:t>
      </w:r>
      <w:r w:rsidRPr="00CB687E">
        <w:t>R</w:t>
      </w:r>
      <w:r w:rsidR="00241D11" w:rsidRPr="00CB687E">
        <w:t xml:space="preserve">ights </w:t>
      </w:r>
      <w:r w:rsidRPr="00CB687E">
        <w:t>T</w:t>
      </w:r>
      <w:r w:rsidR="00241D11" w:rsidRPr="00CB687E">
        <w:t xml:space="preserve">ribunal of </w:t>
      </w:r>
      <w:r w:rsidRPr="00CB687E">
        <w:t>O</w:t>
      </w:r>
      <w:r w:rsidR="00241D11" w:rsidRPr="00CB687E">
        <w:t>ntario (HRTO)</w:t>
      </w:r>
      <w:r w:rsidRPr="00CB687E">
        <w:t xml:space="preserve"> ordered the Ontario Provincial Police to review its custody policies after failing to accommodate a woman with diabetes. This case demonstrates how individual complaints can drive system-wide change to improve law enforcement practices.</w:t>
      </w:r>
    </w:p>
    <w:p w14:paraId="5A89A631" w14:textId="3116ACCF" w:rsidR="00707CA2" w:rsidRPr="00CB687E" w:rsidRDefault="00707CA2" w:rsidP="00DB6A67">
      <w:pPr>
        <w:numPr>
          <w:ilvl w:val="0"/>
          <w:numId w:val="15"/>
        </w:numPr>
        <w:jc w:val="both"/>
      </w:pPr>
      <w:r w:rsidRPr="00CB687E">
        <w:t>In </w:t>
      </w:r>
      <w:r w:rsidRPr="00CB687E">
        <w:rPr>
          <w:b/>
          <w:bCs/>
        </w:rPr>
        <w:t>Robinson-Cooke</w:t>
      </w:r>
      <w:r w:rsidR="00881443" w:rsidRPr="00CB687E">
        <w:rPr>
          <w:b/>
          <w:bCs/>
        </w:rPr>
        <w:t xml:space="preserve"> v. </w:t>
      </w:r>
      <w:r w:rsidR="002A0235" w:rsidRPr="00CB687E">
        <w:rPr>
          <w:b/>
          <w:bCs/>
        </w:rPr>
        <w:t>Ontario (Community and Social Services)</w:t>
      </w:r>
      <w:r w:rsidRPr="00CB687E">
        <w:t xml:space="preserve">, the Ontario Court </w:t>
      </w:r>
      <w:r w:rsidR="00455F6A" w:rsidRPr="00CB687E">
        <w:t xml:space="preserve">of Appeals </w:t>
      </w:r>
      <w:r w:rsidRPr="00CB687E">
        <w:t>upheld the HRTO’s finding that the denial of a guide dog benefit was discriminatory. The ruling compelled the Province to reform its policies, setting a precedent for inclusive benefit design for people with disabilities.</w:t>
      </w:r>
    </w:p>
    <w:p w14:paraId="6DB98329" w14:textId="30153925" w:rsidR="00707CA2" w:rsidRPr="00CB687E" w:rsidRDefault="00707CA2" w:rsidP="00DB6A67">
      <w:pPr>
        <w:numPr>
          <w:ilvl w:val="0"/>
          <w:numId w:val="15"/>
        </w:numPr>
        <w:jc w:val="both"/>
      </w:pPr>
      <w:r w:rsidRPr="00CB687E">
        <w:t>In </w:t>
      </w:r>
      <w:r w:rsidRPr="00CB687E">
        <w:rPr>
          <w:b/>
          <w:bCs/>
        </w:rPr>
        <w:t>Nakogee v. North Bay Transit</w:t>
      </w:r>
      <w:r w:rsidRPr="00CB687E">
        <w:t xml:space="preserve">, the HRTO found that a family was denied access to public transit based on their Indigeneity and that the transit authority failed to investigate their complaint. The ruling emphasized the need for culturally competent, anti-racist practices for investigating allegations of discrimination and harassment, especially </w:t>
      </w:r>
      <w:r w:rsidR="00842A55" w:rsidRPr="00CB687E">
        <w:t xml:space="preserve">in relation to essential </w:t>
      </w:r>
      <w:r w:rsidRPr="00CB687E">
        <w:t>public services.</w:t>
      </w:r>
    </w:p>
    <w:p w14:paraId="00E9A22D" w14:textId="77777777" w:rsidR="00707CA2" w:rsidRPr="00CB687E" w:rsidRDefault="00707CA2" w:rsidP="00DB6A67">
      <w:pPr>
        <w:numPr>
          <w:ilvl w:val="0"/>
          <w:numId w:val="15"/>
        </w:numPr>
        <w:jc w:val="both"/>
      </w:pPr>
      <w:r w:rsidRPr="00CB687E">
        <w:lastRenderedPageBreak/>
        <w:t>In </w:t>
      </w:r>
      <w:r w:rsidRPr="00CB687E">
        <w:rPr>
          <w:b/>
          <w:bCs/>
        </w:rPr>
        <w:t>A.B. v. Mad Wax Windsor Inc.</w:t>
      </w:r>
      <w:r w:rsidRPr="00CB687E">
        <w:t>, the HRTO recognized the compounded harm of discrimination and reprisal against a trans woman who was denied service and then publicly outed and harassed. In addition to sending a strong message about the right to dignity for trans people, the Tribunal’s findings noted</w:t>
      </w:r>
      <w:r w:rsidRPr="00CB687E">
        <w:rPr>
          <w:rFonts w:ascii="Arial" w:hAnsi="Arial" w:cs="Arial"/>
        </w:rPr>
        <w:t xml:space="preserve"> </w:t>
      </w:r>
      <w:r w:rsidRPr="00CB687E">
        <w:t>that respondents must exercise caution to avoid publicizing an applicant’s personal information and media campaigns may be found to be retaliatory.</w:t>
      </w:r>
    </w:p>
    <w:p w14:paraId="1DFF4994" w14:textId="77777777" w:rsidR="00707CA2" w:rsidRPr="00CB687E" w:rsidRDefault="00707CA2" w:rsidP="00DB6A67">
      <w:pPr>
        <w:numPr>
          <w:ilvl w:val="0"/>
          <w:numId w:val="15"/>
        </w:numPr>
        <w:jc w:val="both"/>
      </w:pPr>
      <w:r w:rsidRPr="00CB687E">
        <w:t>Regrettably, sexual harassment continues to be a pervasive problem, particularly for women in the workplace. In cases such as </w:t>
      </w:r>
      <w:r w:rsidRPr="00CB687E">
        <w:rPr>
          <w:b/>
          <w:bCs/>
        </w:rPr>
        <w:t>Aloy-Sadakane v. Data &amp; Scientific Inc.</w:t>
      </w:r>
      <w:r w:rsidRPr="00CB687E">
        <w:t> and </w:t>
      </w:r>
      <w:r w:rsidRPr="00CB687E">
        <w:rPr>
          <w:b/>
          <w:bCs/>
        </w:rPr>
        <w:t>More v. Shared Workspace Inc.</w:t>
      </w:r>
      <w:r w:rsidRPr="00CB687E">
        <w:t>, the HRTO reinforced the obligation of employers to maintain safe and respectful workplaces, ordered financial compensation for injury to dignity, feelings, and self-respect, and mandatory training.</w:t>
      </w:r>
    </w:p>
    <w:p w14:paraId="65B67334" w14:textId="77777777" w:rsidR="00707CA2" w:rsidRPr="00CB687E" w:rsidRDefault="00707CA2" w:rsidP="00DB6A67">
      <w:pPr>
        <w:jc w:val="both"/>
      </w:pPr>
      <w:r w:rsidRPr="00CB687E">
        <w:t>The HRLSC’s Strategic Plan sets ambitious priorities. We aim to </w:t>
      </w:r>
      <w:r w:rsidRPr="00CB687E">
        <w:rPr>
          <w:b/>
          <w:bCs/>
        </w:rPr>
        <w:t>provide leadership in Ontario’s human rights system</w:t>
      </w:r>
      <w:r w:rsidRPr="00CB687E">
        <w:t xml:space="preserve">, not only by supporting individuals but by advancing early dispute resolution, advocating for systemic change, continuing our commitment to reconciliation, and expanding our experiential education programs. We are also committed to </w:t>
      </w:r>
      <w:r w:rsidRPr="00CB687E">
        <w:rPr>
          <w:b/>
          <w:bCs/>
        </w:rPr>
        <w:t>increasing access to legal services</w:t>
      </w:r>
      <w:r w:rsidRPr="00CB687E">
        <w:t xml:space="preserve">, especially for those most marginalized and vulnerable to discrimination. </w:t>
      </w:r>
    </w:p>
    <w:p w14:paraId="236E7F53" w14:textId="77777777" w:rsidR="00707CA2" w:rsidRPr="00CB687E" w:rsidRDefault="00707CA2" w:rsidP="00DB6A67">
      <w:pPr>
        <w:jc w:val="both"/>
      </w:pPr>
      <w:r w:rsidRPr="00CB687E">
        <w:t>Acutely aware of the ways in which only focusing our attention on those who come to our door for service can reproduce existing inequities in access to human rights justice, our new strategy will help to ensure that we are intentional with our outreach and about who and how we serve. This will require more targeted public communications and robust data collection. In turn, this will enable us to hone our services to those most underrepresented, deliver stronger and sharper human rights analysis, expose systemic patterns and empower rights-based advocacy that is maximally impactful.</w:t>
      </w:r>
    </w:p>
    <w:p w14:paraId="611764D3" w14:textId="77777777" w:rsidR="00707CA2" w:rsidRPr="00CB687E" w:rsidRDefault="00707CA2" w:rsidP="00DB6A67">
      <w:pPr>
        <w:jc w:val="both"/>
      </w:pPr>
      <w:r w:rsidRPr="00CB687E">
        <w:t xml:space="preserve">To the HRLSC’s dedicated and hard-working staff, my Board colleagues, our partners, and the communities we aim to serve: </w:t>
      </w:r>
      <w:r w:rsidRPr="00CB687E">
        <w:rPr>
          <w:i/>
          <w:iCs/>
        </w:rPr>
        <w:t>thank you</w:t>
      </w:r>
      <w:r w:rsidRPr="00CB687E">
        <w:t xml:space="preserve">, </w:t>
      </w:r>
      <w:r w:rsidRPr="00CB687E">
        <w:rPr>
          <w:i/>
          <w:iCs/>
        </w:rPr>
        <w:t xml:space="preserve">merci, </w:t>
      </w:r>
      <w:r w:rsidRPr="00CB687E">
        <w:t xml:space="preserve">and </w:t>
      </w:r>
      <w:r w:rsidRPr="00CB687E">
        <w:rPr>
          <w:i/>
          <w:iCs/>
        </w:rPr>
        <w:t>miigwetch</w:t>
      </w:r>
      <w:r w:rsidRPr="00CB687E">
        <w:t>. Your confidence in the HRLSC and collaboration are critical and make this work possible. Together, we will decisively move this strategic and transformative phase forward to advance what human rights justice can look like for all in Ontario.</w:t>
      </w:r>
    </w:p>
    <w:p w14:paraId="5983CC0A" w14:textId="77777777" w:rsidR="00707CA2" w:rsidRPr="00CB687E" w:rsidRDefault="00707CA2" w:rsidP="00707CA2">
      <w:r w:rsidRPr="00CB687E">
        <w:t>Sincerely,</w:t>
      </w:r>
    </w:p>
    <w:p w14:paraId="7AA45942" w14:textId="77777777" w:rsidR="004F1ED0" w:rsidRPr="00CB687E" w:rsidRDefault="004F1ED0" w:rsidP="00707CA2"/>
    <w:p w14:paraId="78326AF9" w14:textId="1B0F19DF" w:rsidR="004F1ED0" w:rsidRPr="00CB687E" w:rsidRDefault="00707CA2" w:rsidP="00DB6A67">
      <w:pPr>
        <w:spacing w:after="0"/>
      </w:pPr>
      <w:r w:rsidRPr="00CB687E">
        <w:t>Ena Chadha</w:t>
      </w:r>
      <w:r w:rsidR="00DB6A67">
        <w:t xml:space="preserve">, </w:t>
      </w:r>
      <w:r w:rsidR="004F1ED0" w:rsidRPr="00CB687E">
        <w:t>Chair of the HRLSC Board of Directors</w:t>
      </w:r>
    </w:p>
    <w:p w14:paraId="0BB1B389" w14:textId="652CFD8A" w:rsidR="00C06DC1" w:rsidRPr="00CB687E" w:rsidRDefault="00C06DC1" w:rsidP="00C06DC1">
      <w:pPr>
        <w:pStyle w:val="Heading2"/>
      </w:pPr>
      <w:bookmarkStart w:id="10" w:name="_Toc201753973"/>
      <w:bookmarkStart w:id="11" w:name="_Toc204090247"/>
      <w:r w:rsidRPr="00CB687E">
        <w:lastRenderedPageBreak/>
        <w:t>Message from our Executive Director</w:t>
      </w:r>
      <w:bookmarkEnd w:id="10"/>
      <w:bookmarkEnd w:id="11"/>
    </w:p>
    <w:p w14:paraId="73E70CEF" w14:textId="43A207CD" w:rsidR="008535E2" w:rsidRPr="00CB687E" w:rsidRDefault="008535E2" w:rsidP="00DB6A67">
      <w:pPr>
        <w:jc w:val="both"/>
      </w:pPr>
      <w:r w:rsidRPr="00CB687E">
        <w:t>The HRLSC continued its transformational journey in new and proactive directions this past 2024</w:t>
      </w:r>
      <w:r w:rsidR="009B65A0" w:rsidRPr="009B65A0">
        <w:t>–</w:t>
      </w:r>
      <w:r w:rsidRPr="00CB687E">
        <w:t xml:space="preserve">2025 fiscal year, consistent with our new Five-Year </w:t>
      </w:r>
      <w:hyperlink r:id="rId17" w:history="1">
        <w:r w:rsidRPr="00CB687E">
          <w:rPr>
            <w:rStyle w:val="Hyperlink"/>
          </w:rPr>
          <w:t>Strategic Plan</w:t>
        </w:r>
      </w:hyperlink>
      <w:r w:rsidRPr="00CB687E">
        <w:t xml:space="preserve"> and Ministry of Attorney General mandate letter priorities. </w:t>
      </w:r>
    </w:p>
    <w:p w14:paraId="01E82FBA" w14:textId="77777777" w:rsidR="008535E2" w:rsidRPr="00CB687E" w:rsidRDefault="008535E2" w:rsidP="00DB6A67">
      <w:pPr>
        <w:jc w:val="both"/>
      </w:pPr>
      <w:r w:rsidRPr="00CB687E">
        <w:t xml:space="preserve">Key operational priorities this past year included: </w:t>
      </w:r>
    </w:p>
    <w:p w14:paraId="437BB2A2" w14:textId="5347192F" w:rsidR="008535E2" w:rsidRPr="00CB687E" w:rsidRDefault="008535E2" w:rsidP="00DB6A67">
      <w:pPr>
        <w:pStyle w:val="ListParagraph"/>
        <w:numPr>
          <w:ilvl w:val="0"/>
          <w:numId w:val="16"/>
        </w:numPr>
        <w:jc w:val="both"/>
      </w:pPr>
      <w:r w:rsidRPr="00CB687E">
        <w:t xml:space="preserve">Building a strategic approach to orient HRLSC services and decision-making; </w:t>
      </w:r>
    </w:p>
    <w:p w14:paraId="7B80D64E" w14:textId="77777777" w:rsidR="008535E2" w:rsidRPr="00CB687E" w:rsidRDefault="008535E2" w:rsidP="00DB6A67">
      <w:pPr>
        <w:pStyle w:val="ListParagraph"/>
        <w:numPr>
          <w:ilvl w:val="0"/>
          <w:numId w:val="16"/>
        </w:numPr>
        <w:jc w:val="both"/>
      </w:pPr>
      <w:r w:rsidRPr="00CB687E">
        <w:t xml:space="preserve">Enhancing our community outreach, partnerships, and public profile; and </w:t>
      </w:r>
    </w:p>
    <w:p w14:paraId="18AA5CEF" w14:textId="77777777" w:rsidR="008535E2" w:rsidRPr="00CB687E" w:rsidRDefault="008535E2" w:rsidP="00DB6A67">
      <w:pPr>
        <w:pStyle w:val="ListParagraph"/>
        <w:numPr>
          <w:ilvl w:val="0"/>
          <w:numId w:val="16"/>
        </w:numPr>
        <w:jc w:val="both"/>
      </w:pPr>
      <w:r w:rsidRPr="00CB687E">
        <w:t>Stabilizing our resources and infrastructure.</w:t>
      </w:r>
    </w:p>
    <w:p w14:paraId="5ABBF432" w14:textId="624AB5F1" w:rsidR="008535E2" w:rsidRPr="00CB687E" w:rsidRDefault="008535E2" w:rsidP="00DB6A67">
      <w:pPr>
        <w:jc w:val="both"/>
      </w:pPr>
      <w:r w:rsidRPr="00CB687E">
        <w:t>In the first respect, we successfully released our 2024</w:t>
      </w:r>
      <w:r w:rsidR="009B65A0" w:rsidRPr="009B65A0">
        <w:t>–</w:t>
      </w:r>
      <w:r w:rsidRPr="00CB687E">
        <w:t xml:space="preserve">2029 Strategic Plan – </w:t>
      </w:r>
      <w:r w:rsidRPr="00CB687E">
        <w:rPr>
          <w:i/>
          <w:iCs/>
        </w:rPr>
        <w:t>Realizing Human Rights Together: Empowering Access to Justice</w:t>
      </w:r>
      <w:r w:rsidRPr="00CB687E">
        <w:t xml:space="preserve"> this past fiscal year, which has provided us with a strong foundation to orient and inspire current and future HRLSC work and efforts to expand access to human rights justice in Ontario. Through this Plan we also began enhancing our capacity to collect, analyse and use data within the organization to help inform and enable strategic decision-making, and support our efforts to attract new and additional sources of funding. </w:t>
      </w:r>
    </w:p>
    <w:p w14:paraId="779404EB" w14:textId="77777777" w:rsidR="008535E2" w:rsidRPr="00CB687E" w:rsidRDefault="008535E2" w:rsidP="00DB6A67">
      <w:pPr>
        <w:jc w:val="both"/>
      </w:pPr>
      <w:r w:rsidRPr="00CB687E">
        <w:t xml:space="preserve">In the second regard, we engaged in concerted community outreach efforts this past year, including through strategic plan </w:t>
      </w:r>
      <w:hyperlink r:id="rId18" w:history="1">
        <w:r w:rsidRPr="00CB687E">
          <w:rPr>
            <w:rStyle w:val="Hyperlink"/>
          </w:rPr>
          <w:t>consultations</w:t>
        </w:r>
      </w:hyperlink>
      <w:r w:rsidRPr="00CB687E">
        <w:t xml:space="preserve">, building of new community partnerships, and strategic investments in our capacity to measure and communicate our value to the public. We have already begun to see the fruits of these efforts, including as measured by a 30% increase in our website visits and 300% increase in our media visibility this year (as measured by positive media stories) as compared to last year. That we were able to also increase our provision of summary legal advice by 34% this year (as compared to the last four-year average) whilst accepting the highest number of calls since 2018/2019, only further indicates our growing reach and the growing demand for HRLSC services by Ontarians. </w:t>
      </w:r>
    </w:p>
    <w:p w14:paraId="048D94A6" w14:textId="18B2306A" w:rsidR="008535E2" w:rsidRPr="00CB687E" w:rsidRDefault="008535E2" w:rsidP="00DB6A67">
      <w:pPr>
        <w:jc w:val="both"/>
      </w:pPr>
      <w:r w:rsidRPr="00CB687E">
        <w:t>Finally, in the third regard, the HRLSC undertook critical and proactive steps to secure and expand our resources and infrastructure over the near, medium, and long term. This included advancing proactive measures to protect and secure our IT</w:t>
      </w:r>
      <w:r w:rsidR="00181A8B" w:rsidRPr="00CB687E">
        <w:t xml:space="preserve"> system</w:t>
      </w:r>
      <w:r w:rsidR="00D23CA8" w:rsidRPr="00CB687E">
        <w:t>s</w:t>
      </w:r>
      <w:r w:rsidRPr="00CB687E">
        <w:t xml:space="preserve">, through the development of a new IT policy, strategy, and infrastructural development plan that will see us migrate our data and operating systems to a new cloud facility in the coming year, including to protect us against future cyberattacks. Concerted efforts were also undertaken to obtain new and diversified sources of funding to address ongoing human and financial resource challenges to fulfilling our statutory mandate. In this respect, we successfully secured a new Law Foundation of Ontario (LFO) grant which supported our launch of a new and exciting Mediation, Early Resolution &amp; Experiential Learning Training </w:t>
      </w:r>
      <w:r w:rsidRPr="00CB687E">
        <w:lastRenderedPageBreak/>
        <w:t xml:space="preserve">(MEET) Pilot Project, </w:t>
      </w:r>
      <w:r w:rsidR="00842A55" w:rsidRPr="00CB687E">
        <w:t xml:space="preserve">expanding our existing </w:t>
      </w:r>
      <w:r w:rsidRPr="00CB687E">
        <w:t>partnership with York University’s Osgoode Hall Law School. This Pilot Project will support 12 new student placements at the HRLSC over the next two years focused on mediation and early resolution services. New LFO funding also enabled the HRLSC to launch the development of a new, online, self-administered “Guided Pathway” tool</w:t>
      </w:r>
      <w:r w:rsidR="002F605E">
        <w:t xml:space="preserve"> </w:t>
      </w:r>
      <w:r w:rsidRPr="00CB687E">
        <w:t>in partnership with Community Legal Education Ontario (CLEO). Th</w:t>
      </w:r>
      <w:r w:rsidR="00842A55" w:rsidRPr="00CB687E">
        <w:t>e Guided Pathway tool will assist</w:t>
      </w:r>
      <w:r w:rsidRPr="00CB687E">
        <w:t xml:space="preserve"> Ontarians </w:t>
      </w:r>
      <w:r w:rsidR="00842A55" w:rsidRPr="00CB687E">
        <w:t xml:space="preserve">in preparing and filing their </w:t>
      </w:r>
      <w:r w:rsidRPr="00CB687E">
        <w:t xml:space="preserve">applications at the </w:t>
      </w:r>
      <w:r w:rsidR="008873FC" w:rsidRPr="00CB687E">
        <w:t>HRTO</w:t>
      </w:r>
      <w:r w:rsidRPr="00CB687E">
        <w:t>. Through this tool, the HRLSC and CLEO are expanding access to human rights justice for those who may not have had legal support and advice otherwise, especially as more and more Ontarians go self-represented at the Tribunal.</w:t>
      </w:r>
    </w:p>
    <w:p w14:paraId="468C5FB9" w14:textId="40B538DA" w:rsidR="008535E2" w:rsidRPr="00CB687E" w:rsidRDefault="008535E2" w:rsidP="00DB6A67">
      <w:pPr>
        <w:jc w:val="both"/>
      </w:pPr>
      <w:r w:rsidRPr="00CB687E">
        <w:t>On a more challenging note, we saw a significant decline this past year in our ability to provide in-depth legal interviews and attend HRTO hearings. While there were numerous contributing factors, including those beyond our direct control (</w:t>
      </w:r>
      <w:r w:rsidR="00852350" w:rsidRPr="00CB687E">
        <w:t xml:space="preserve">such as </w:t>
      </w:r>
      <w:r w:rsidR="0084134B" w:rsidRPr="00CB687E">
        <w:t xml:space="preserve">the </w:t>
      </w:r>
      <w:r w:rsidRPr="00CB687E" w:rsidDel="00931B68">
        <w:t xml:space="preserve">ongoing </w:t>
      </w:r>
      <w:r w:rsidRPr="00CB687E">
        <w:t xml:space="preserve">impacts of the </w:t>
      </w:r>
      <w:r w:rsidR="00931B68" w:rsidRPr="00CB687E">
        <w:t xml:space="preserve">2023 </w:t>
      </w:r>
      <w:r w:rsidRPr="00CB687E">
        <w:t xml:space="preserve">cybersecurity incident), this clearly indicates that we need to continue to strive to expand our staffing complement </w:t>
      </w:r>
      <w:r w:rsidR="00842A55" w:rsidRPr="00CB687E">
        <w:t xml:space="preserve">to strengthen our </w:t>
      </w:r>
      <w:r w:rsidRPr="00CB687E">
        <w:t>capacity to provide in-depth legal services to Ontarians. This very much informs our current strategic efforts to increase our funding, resources, and capacity to attract and retain staff at levels commensurate with our statutory mandate. We recognize that there is still a lot of work to be done and improvements to be made in such respects. With this in mind, we commenced bargaining this past year with our new, voluntarily recognized counsel union group, and adopted a new Compensation Philosophy reaffirming our commitment to fairness, equity, and long-term sustainability. We also continued to analyze compensation disparities and submitted robust funding proposals to address these challenges.</w:t>
      </w:r>
    </w:p>
    <w:p w14:paraId="1241179F" w14:textId="04BF212F" w:rsidR="008535E2" w:rsidRPr="00CB687E" w:rsidRDefault="00481770" w:rsidP="00DB6A67">
      <w:pPr>
        <w:jc w:val="both"/>
      </w:pPr>
      <w:r w:rsidRPr="00CB687E">
        <w:t xml:space="preserve">We thank our staff for their valiant efforts to provide Ontarians experiencing discrimination with the legal supports they need, despite working in a </w:t>
      </w:r>
      <w:r>
        <w:t xml:space="preserve">consistently fiscally challenged, </w:t>
      </w:r>
      <w:r w:rsidRPr="00CB687E">
        <w:t>resource-strained environment</w:t>
      </w:r>
      <w:r w:rsidR="008535E2">
        <w:t>.</w:t>
      </w:r>
      <w:r w:rsidRPr="00CB687E">
        <w:t xml:space="preserve"> </w:t>
      </w:r>
      <w:r w:rsidR="008535E2" w:rsidRPr="00CB687E">
        <w:t>Our new Strategic Plan provides us with an inspirational roadmap in such respects going forward</w:t>
      </w:r>
      <w:r w:rsidR="005D0C95">
        <w:t>.</w:t>
      </w:r>
      <w:r w:rsidR="6C598903">
        <w:t xml:space="preserve"> </w:t>
      </w:r>
      <w:r w:rsidR="005D0C95">
        <w:t>W</w:t>
      </w:r>
      <w:r w:rsidR="008535E2">
        <w:t>e</w:t>
      </w:r>
      <w:r w:rsidR="008535E2" w:rsidRPr="00CB687E">
        <w:t xml:space="preserve"> remain confident that we will begin to reap the</w:t>
      </w:r>
      <w:r w:rsidR="0052147A" w:rsidRPr="00CB687E">
        <w:t xml:space="preserve"> </w:t>
      </w:r>
      <w:r w:rsidR="3E6F2AF0">
        <w:t>benefits</w:t>
      </w:r>
      <w:r w:rsidR="00C20D74" w:rsidRPr="00CB687E">
        <w:t xml:space="preserve"> </w:t>
      </w:r>
      <w:r w:rsidR="008535E2" w:rsidRPr="00CB687E">
        <w:t xml:space="preserve">of our longer-term strategic investments </w:t>
      </w:r>
      <w:r w:rsidR="00C20D74" w:rsidRPr="00CB687E">
        <w:t xml:space="preserve">in the years ahead from the seeds we plant </w:t>
      </w:r>
      <w:r w:rsidR="008535E2" w:rsidRPr="00CB687E">
        <w:t xml:space="preserve">today. </w:t>
      </w:r>
    </w:p>
    <w:p w14:paraId="6633F950" w14:textId="77777777" w:rsidR="008535E2" w:rsidRPr="00CB687E" w:rsidRDefault="008535E2" w:rsidP="00DB6A67">
      <w:pPr>
        <w:jc w:val="both"/>
      </w:pPr>
      <w:r w:rsidRPr="00CB687E">
        <w:t>To our staff, partners, and the communities we serve: I echo our Chair Ena’s words of gratitude. Your dedication and collaboration make this work possible. Together, we will continue to advance human rights in Ontario—not only by responding to those who seek our help, but by proactively shaping a more just and inclusive future.</w:t>
      </w:r>
    </w:p>
    <w:p w14:paraId="72F067FF" w14:textId="77777777" w:rsidR="008535E2" w:rsidRDefault="008535E2" w:rsidP="00D73564">
      <w:pPr>
        <w:spacing w:after="280"/>
      </w:pPr>
      <w:r w:rsidRPr="00CB687E">
        <w:t>Sincerely,</w:t>
      </w:r>
    </w:p>
    <w:p w14:paraId="7700FD10" w14:textId="77777777" w:rsidR="00DB6A67" w:rsidRPr="00CB687E" w:rsidRDefault="00DB6A67" w:rsidP="00DB6A67"/>
    <w:p w14:paraId="085C8B06" w14:textId="0A79625D" w:rsidR="008535E2" w:rsidRPr="00CB687E" w:rsidRDefault="008535E2" w:rsidP="008535E2">
      <w:r w:rsidRPr="00CB687E">
        <w:t>Remi Warner, Executive Director for the HRLSC</w:t>
      </w:r>
    </w:p>
    <w:p w14:paraId="487E0B7C" w14:textId="2590EF9D" w:rsidR="00010375" w:rsidRPr="00CB687E" w:rsidRDefault="00010375" w:rsidP="00010375">
      <w:pPr>
        <w:pStyle w:val="Heading1"/>
      </w:pPr>
      <w:bookmarkStart w:id="12" w:name="_Toc204090248"/>
      <w:r w:rsidRPr="00CB687E">
        <w:lastRenderedPageBreak/>
        <w:t>2.</w:t>
      </w:r>
      <w:r w:rsidRPr="00CB687E">
        <w:tab/>
        <w:t>Summary of Mandate and Services</w:t>
      </w:r>
      <w:bookmarkEnd w:id="12"/>
    </w:p>
    <w:p w14:paraId="268B675E" w14:textId="77777777" w:rsidR="00010375" w:rsidRPr="00CB687E" w:rsidRDefault="00010375" w:rsidP="002A39DE">
      <w:pPr>
        <w:pStyle w:val="Heading2"/>
        <w:jc w:val="both"/>
      </w:pPr>
      <w:bookmarkStart w:id="13" w:name="_Toc201323023"/>
      <w:bookmarkStart w:id="14" w:name="_Toc204090249"/>
      <w:r w:rsidRPr="00CB687E">
        <w:t>2.1</w:t>
      </w:r>
      <w:r w:rsidRPr="00CB687E">
        <w:rPr>
          <w:i/>
          <w:iCs/>
        </w:rPr>
        <w:t xml:space="preserve"> Code</w:t>
      </w:r>
      <w:r w:rsidRPr="00CB687E">
        <w:t>-related Discrimination:</w:t>
      </w:r>
      <w:bookmarkEnd w:id="13"/>
      <w:bookmarkEnd w:id="14"/>
    </w:p>
    <w:p w14:paraId="6ACD4E03" w14:textId="7C35063C" w:rsidR="006926F3" w:rsidRPr="00CB687E" w:rsidRDefault="00405876" w:rsidP="008535E2">
      <w:pPr>
        <w:jc w:val="both"/>
      </w:pPr>
      <w:r w:rsidRPr="00CB687E">
        <w:t xml:space="preserve">The </w:t>
      </w:r>
      <w:r w:rsidR="008535E2" w:rsidRPr="00CB687E">
        <w:t>HRLSC provides legal support services to persons who have experienced discrimination</w:t>
      </w:r>
      <w:r w:rsidR="006926F3" w:rsidRPr="00CB687E">
        <w:t>, harassment or reprisal</w:t>
      </w:r>
      <w:r w:rsidR="008535E2" w:rsidRPr="00CB687E">
        <w:t xml:space="preserve"> under the Ontario </w:t>
      </w:r>
      <w:r w:rsidR="008535E2" w:rsidRPr="00CB687E">
        <w:rPr>
          <w:i/>
          <w:iCs/>
        </w:rPr>
        <w:t>Human Rights</w:t>
      </w:r>
      <w:r w:rsidR="008535E2" w:rsidRPr="00CB687E">
        <w:t xml:space="preserve"> </w:t>
      </w:r>
      <w:r w:rsidR="008535E2" w:rsidRPr="00CB687E">
        <w:rPr>
          <w:i/>
          <w:iCs/>
        </w:rPr>
        <w:t xml:space="preserve">Code </w:t>
      </w:r>
      <w:r w:rsidR="008535E2" w:rsidRPr="00CB687E">
        <w:t xml:space="preserve">(or </w:t>
      </w:r>
      <w:r w:rsidR="008535E2" w:rsidRPr="00CB687E">
        <w:rPr>
          <w:i/>
          <w:iCs/>
        </w:rPr>
        <w:t>Code</w:t>
      </w:r>
      <w:r w:rsidR="008535E2" w:rsidRPr="00CB687E">
        <w:t>)</w:t>
      </w:r>
      <w:r w:rsidR="006926F3" w:rsidRPr="00CB687E">
        <w:t xml:space="preserve">. </w:t>
      </w:r>
    </w:p>
    <w:p w14:paraId="5D376199" w14:textId="6CAA342C" w:rsidR="008535E2" w:rsidRPr="00CB687E" w:rsidRDefault="006926F3" w:rsidP="006926F3">
      <w:pPr>
        <w:jc w:val="both"/>
      </w:pPr>
      <w:r w:rsidRPr="00CB687E">
        <w:t xml:space="preserve">One of the key requirements for </w:t>
      </w:r>
      <w:bookmarkStart w:id="15" w:name="_Hlk201934261"/>
      <w:r w:rsidRPr="00CB687E">
        <w:t xml:space="preserve">establishing discrimination under the </w:t>
      </w:r>
      <w:r w:rsidRPr="00CB687E">
        <w:rPr>
          <w:i/>
          <w:iCs/>
        </w:rPr>
        <w:t>Code</w:t>
      </w:r>
      <w:r w:rsidRPr="00CB687E">
        <w:t xml:space="preserve"> is determining if an organization or individual is treating someone unfairly because of a personal characteristic (or prohibited ground)</w:t>
      </w:r>
      <w:bookmarkEnd w:id="15"/>
      <w:r w:rsidRPr="00CB687E">
        <w:t xml:space="preserve">. </w:t>
      </w:r>
      <w:r w:rsidR="008535E2" w:rsidRPr="00CB687E">
        <w:t>These 17 prohibited grounds are:</w:t>
      </w:r>
    </w:p>
    <w:p w14:paraId="122D3188" w14:textId="77777777" w:rsidR="00010375" w:rsidRPr="00CB687E" w:rsidRDefault="00010375" w:rsidP="002A39DE">
      <w:pPr>
        <w:pStyle w:val="ListParagraph"/>
        <w:numPr>
          <w:ilvl w:val="0"/>
          <w:numId w:val="3"/>
        </w:numPr>
        <w:jc w:val="both"/>
        <w:sectPr w:rsidR="00010375" w:rsidRPr="00CB687E" w:rsidSect="000E6BCB">
          <w:pgSz w:w="12240" w:h="15840" w:code="1"/>
          <w:pgMar w:top="1440" w:right="1440" w:bottom="1440" w:left="1440" w:header="720" w:footer="720" w:gutter="0"/>
          <w:pgNumType w:start="1"/>
          <w:cols w:space="720"/>
          <w:titlePg/>
          <w:docGrid w:linePitch="360"/>
        </w:sectPr>
      </w:pPr>
    </w:p>
    <w:p w14:paraId="4DE14FDE" w14:textId="3BCB2354" w:rsidR="00010375" w:rsidRPr="00CB687E" w:rsidRDefault="00010375" w:rsidP="002A39DE">
      <w:pPr>
        <w:pStyle w:val="ListParagraph"/>
        <w:numPr>
          <w:ilvl w:val="0"/>
          <w:numId w:val="3"/>
        </w:numPr>
        <w:jc w:val="both"/>
      </w:pPr>
      <w:r w:rsidRPr="00CB687E">
        <w:t>Age,</w:t>
      </w:r>
    </w:p>
    <w:p w14:paraId="57C1C9EB" w14:textId="77777777" w:rsidR="00010375" w:rsidRPr="00CB687E" w:rsidRDefault="00010375" w:rsidP="002A39DE">
      <w:pPr>
        <w:pStyle w:val="ListParagraph"/>
        <w:numPr>
          <w:ilvl w:val="0"/>
          <w:numId w:val="1"/>
        </w:numPr>
        <w:jc w:val="both"/>
      </w:pPr>
      <w:r w:rsidRPr="00CB687E">
        <w:t>Ancestry,</w:t>
      </w:r>
    </w:p>
    <w:p w14:paraId="406C2725" w14:textId="77777777" w:rsidR="00010375" w:rsidRPr="00CB687E" w:rsidRDefault="00010375" w:rsidP="002A39DE">
      <w:pPr>
        <w:pStyle w:val="ListParagraph"/>
        <w:numPr>
          <w:ilvl w:val="0"/>
          <w:numId w:val="1"/>
        </w:numPr>
        <w:jc w:val="both"/>
      </w:pPr>
      <w:r w:rsidRPr="00CB687E">
        <w:t>Citizenship,</w:t>
      </w:r>
    </w:p>
    <w:p w14:paraId="10268A11" w14:textId="77777777" w:rsidR="00010375" w:rsidRPr="00CB687E" w:rsidRDefault="00010375" w:rsidP="002A39DE">
      <w:pPr>
        <w:pStyle w:val="ListParagraph"/>
        <w:numPr>
          <w:ilvl w:val="0"/>
          <w:numId w:val="1"/>
        </w:numPr>
        <w:jc w:val="both"/>
      </w:pPr>
      <w:r w:rsidRPr="00CB687E">
        <w:t>Colour,</w:t>
      </w:r>
    </w:p>
    <w:p w14:paraId="318B5690" w14:textId="77777777" w:rsidR="00010375" w:rsidRPr="00CB687E" w:rsidRDefault="00010375" w:rsidP="002A39DE">
      <w:pPr>
        <w:pStyle w:val="ListParagraph"/>
        <w:numPr>
          <w:ilvl w:val="0"/>
          <w:numId w:val="1"/>
        </w:numPr>
        <w:jc w:val="both"/>
      </w:pPr>
      <w:r w:rsidRPr="00CB687E">
        <w:t>Creed (including religion),</w:t>
      </w:r>
    </w:p>
    <w:p w14:paraId="4984A87B" w14:textId="77777777" w:rsidR="00010375" w:rsidRPr="00CB687E" w:rsidRDefault="00010375" w:rsidP="002A39DE">
      <w:pPr>
        <w:pStyle w:val="ListParagraph"/>
        <w:numPr>
          <w:ilvl w:val="0"/>
          <w:numId w:val="1"/>
        </w:numPr>
        <w:jc w:val="both"/>
      </w:pPr>
      <w:r w:rsidRPr="00CB687E">
        <w:t>Disability,</w:t>
      </w:r>
    </w:p>
    <w:p w14:paraId="01404C2E" w14:textId="77777777" w:rsidR="00010375" w:rsidRPr="00CB687E" w:rsidRDefault="00010375" w:rsidP="002A39DE">
      <w:pPr>
        <w:pStyle w:val="ListParagraph"/>
        <w:numPr>
          <w:ilvl w:val="0"/>
          <w:numId w:val="1"/>
        </w:numPr>
        <w:jc w:val="both"/>
      </w:pPr>
      <w:r w:rsidRPr="00CB687E">
        <w:t>Ethnic origin,</w:t>
      </w:r>
    </w:p>
    <w:p w14:paraId="1AB73DDB" w14:textId="77777777" w:rsidR="00010375" w:rsidRPr="00CB687E" w:rsidRDefault="00010375" w:rsidP="002A39DE">
      <w:pPr>
        <w:pStyle w:val="ListParagraph"/>
        <w:numPr>
          <w:ilvl w:val="0"/>
          <w:numId w:val="1"/>
        </w:numPr>
        <w:jc w:val="both"/>
      </w:pPr>
      <w:r w:rsidRPr="00CB687E">
        <w:t>Family status,</w:t>
      </w:r>
    </w:p>
    <w:p w14:paraId="02CCB66E" w14:textId="77777777" w:rsidR="00010375" w:rsidRPr="00CB687E" w:rsidRDefault="00010375" w:rsidP="002A39DE">
      <w:pPr>
        <w:pStyle w:val="ListParagraph"/>
        <w:numPr>
          <w:ilvl w:val="0"/>
          <w:numId w:val="1"/>
        </w:numPr>
        <w:jc w:val="both"/>
      </w:pPr>
      <w:r w:rsidRPr="00CB687E">
        <w:t>Gender expression,</w:t>
      </w:r>
    </w:p>
    <w:p w14:paraId="027F5DF6" w14:textId="77777777" w:rsidR="00010375" w:rsidRPr="00CB687E" w:rsidRDefault="00010375" w:rsidP="002A39DE">
      <w:pPr>
        <w:pStyle w:val="ListParagraph"/>
        <w:numPr>
          <w:ilvl w:val="0"/>
          <w:numId w:val="1"/>
        </w:numPr>
        <w:jc w:val="both"/>
      </w:pPr>
      <w:r w:rsidRPr="00CB687E">
        <w:t>Gender identity,</w:t>
      </w:r>
    </w:p>
    <w:p w14:paraId="6B4466D8" w14:textId="371B0D3A" w:rsidR="00010375" w:rsidRPr="00CB687E" w:rsidRDefault="00010375" w:rsidP="002A39DE">
      <w:pPr>
        <w:pStyle w:val="ListParagraph"/>
        <w:numPr>
          <w:ilvl w:val="0"/>
          <w:numId w:val="1"/>
        </w:numPr>
        <w:jc w:val="both"/>
      </w:pPr>
      <w:r w:rsidRPr="00CB687E">
        <w:t>Marital status,</w:t>
      </w:r>
    </w:p>
    <w:p w14:paraId="3A2A55B4" w14:textId="77777777" w:rsidR="00010375" w:rsidRPr="00CB687E" w:rsidRDefault="00010375" w:rsidP="002A39DE">
      <w:pPr>
        <w:pStyle w:val="ListParagraph"/>
        <w:numPr>
          <w:ilvl w:val="0"/>
          <w:numId w:val="1"/>
        </w:numPr>
        <w:jc w:val="both"/>
      </w:pPr>
      <w:r w:rsidRPr="00CB687E">
        <w:t>Place of origin,</w:t>
      </w:r>
    </w:p>
    <w:p w14:paraId="05269DE8" w14:textId="77777777" w:rsidR="00010375" w:rsidRPr="00CB687E" w:rsidRDefault="00010375" w:rsidP="002A39DE">
      <w:pPr>
        <w:pStyle w:val="ListParagraph"/>
        <w:numPr>
          <w:ilvl w:val="0"/>
          <w:numId w:val="1"/>
        </w:numPr>
        <w:jc w:val="both"/>
      </w:pPr>
      <w:r w:rsidRPr="00CB687E">
        <w:t>Race,</w:t>
      </w:r>
    </w:p>
    <w:p w14:paraId="358473A5" w14:textId="77777777" w:rsidR="00010375" w:rsidRPr="00CB687E" w:rsidRDefault="00010375" w:rsidP="002A39DE">
      <w:pPr>
        <w:pStyle w:val="ListParagraph"/>
        <w:numPr>
          <w:ilvl w:val="0"/>
          <w:numId w:val="1"/>
        </w:numPr>
        <w:jc w:val="both"/>
      </w:pPr>
      <w:r w:rsidRPr="00CB687E">
        <w:t>Receipt of public assistance (in housing only),</w:t>
      </w:r>
    </w:p>
    <w:p w14:paraId="35555AC8" w14:textId="77777777" w:rsidR="00010375" w:rsidRPr="00CB687E" w:rsidRDefault="00010375" w:rsidP="002A39DE">
      <w:pPr>
        <w:pStyle w:val="ListParagraph"/>
        <w:numPr>
          <w:ilvl w:val="0"/>
          <w:numId w:val="1"/>
        </w:numPr>
        <w:jc w:val="both"/>
      </w:pPr>
      <w:r w:rsidRPr="00CB687E">
        <w:t>Record of offences (in employment only),</w:t>
      </w:r>
    </w:p>
    <w:p w14:paraId="26887C54" w14:textId="533FEF41" w:rsidR="00010375" w:rsidRPr="00CB687E" w:rsidRDefault="00010375" w:rsidP="002A39DE">
      <w:pPr>
        <w:pStyle w:val="ListParagraph"/>
        <w:numPr>
          <w:ilvl w:val="0"/>
          <w:numId w:val="1"/>
        </w:numPr>
        <w:jc w:val="both"/>
      </w:pPr>
      <w:r w:rsidRPr="00CB687E">
        <w:t>Sex (including solicitation, sexual harassment and pregnancy),</w:t>
      </w:r>
      <w:r w:rsidR="006D08F0" w:rsidRPr="00CB687E">
        <w:t xml:space="preserve"> and</w:t>
      </w:r>
    </w:p>
    <w:p w14:paraId="71F90E7C" w14:textId="3FCB15FB" w:rsidR="00010375" w:rsidRPr="00CB687E" w:rsidRDefault="00010375" w:rsidP="002A39DE">
      <w:pPr>
        <w:pStyle w:val="ListParagraph"/>
        <w:numPr>
          <w:ilvl w:val="0"/>
          <w:numId w:val="1"/>
        </w:numPr>
        <w:jc w:val="both"/>
      </w:pPr>
      <w:r w:rsidRPr="00CB687E">
        <w:t>Sexual orientation.</w:t>
      </w:r>
    </w:p>
    <w:p w14:paraId="6AD1ED1E" w14:textId="77777777" w:rsidR="00010375" w:rsidRPr="00CB687E" w:rsidRDefault="00010375" w:rsidP="002A39DE">
      <w:pPr>
        <w:jc w:val="both"/>
        <w:sectPr w:rsidR="00010375" w:rsidRPr="00CB687E" w:rsidSect="00010375">
          <w:type w:val="continuous"/>
          <w:pgSz w:w="12240" w:h="15840"/>
          <w:pgMar w:top="1440" w:right="1440" w:bottom="1440" w:left="1440" w:header="720" w:footer="720" w:gutter="0"/>
          <w:pgNumType w:start="0"/>
          <w:cols w:num="2" w:space="720"/>
          <w:titlePg/>
          <w:docGrid w:linePitch="360"/>
        </w:sectPr>
      </w:pPr>
    </w:p>
    <w:p w14:paraId="5C3207D6" w14:textId="77777777" w:rsidR="006926F3" w:rsidRPr="00CB687E" w:rsidRDefault="006926F3" w:rsidP="006926F3">
      <w:pPr>
        <w:jc w:val="both"/>
      </w:pPr>
      <w:r w:rsidRPr="00CB687E">
        <w:t>Discrimination, harassment or reprisals can occur if a policy, practice, or program unfairly affects someone, or a group, based on one of the prohibited grounds of discrimination listed above. Discrimination can also happen when someone’s particular needs are not accommodated based on one of the grounds of discrimination listed above.</w:t>
      </w:r>
    </w:p>
    <w:p w14:paraId="16C4F47A" w14:textId="77777777" w:rsidR="006926F3" w:rsidRPr="00CB687E" w:rsidRDefault="006926F3" w:rsidP="006926F3">
      <w:pPr>
        <w:jc w:val="both"/>
      </w:pPr>
      <w:r w:rsidRPr="00CB687E">
        <w:t xml:space="preserve">Some </w:t>
      </w:r>
      <w:r w:rsidRPr="00CB687E">
        <w:rPr>
          <w:i/>
          <w:iCs/>
        </w:rPr>
        <w:t>Code</w:t>
      </w:r>
      <w:r w:rsidRPr="00CB687E">
        <w:t xml:space="preserve">-related discrimination can be intentional and is directly targeted at a person or group. Discrimination can also be unintentional: when someone is indirectly or accidentally singled out or excluded, based on their identity, or when an individual or an organization does not know or understand their duty to accommodate someone. </w:t>
      </w:r>
    </w:p>
    <w:p w14:paraId="2C9D3A86" w14:textId="77777777" w:rsidR="00290F56" w:rsidRDefault="00010375" w:rsidP="00290F56">
      <w:pPr>
        <w:jc w:val="both"/>
      </w:pPr>
      <w:r w:rsidRPr="00CB687E">
        <w:t xml:space="preserve">A second key requirement for establishing if discrimination is </w:t>
      </w:r>
      <w:r w:rsidRPr="00CB687E">
        <w:rPr>
          <w:i/>
          <w:iCs/>
        </w:rPr>
        <w:t>Code</w:t>
      </w:r>
      <w:r w:rsidRPr="00CB687E">
        <w:t xml:space="preserve">-related, is confirming that it has taken place in one of five social areas as set out in the </w:t>
      </w:r>
      <w:r w:rsidRPr="00CB687E">
        <w:rPr>
          <w:i/>
          <w:iCs/>
        </w:rPr>
        <w:t>Code</w:t>
      </w:r>
      <w:r w:rsidRPr="00CB687E">
        <w:t>:</w:t>
      </w:r>
    </w:p>
    <w:p w14:paraId="67FBE029" w14:textId="1FC6E71E" w:rsidR="00010375" w:rsidRPr="00CB687E" w:rsidRDefault="00010375" w:rsidP="00290F56">
      <w:pPr>
        <w:pStyle w:val="ListParagraph"/>
        <w:numPr>
          <w:ilvl w:val="0"/>
          <w:numId w:val="3"/>
        </w:numPr>
        <w:jc w:val="both"/>
      </w:pPr>
      <w:r w:rsidRPr="00CB687E">
        <w:t>Housing (including buying, selling, renting or being evicted from an apartment, house, condominium or hotel room);</w:t>
      </w:r>
    </w:p>
    <w:p w14:paraId="44D365ED" w14:textId="77777777" w:rsidR="00010375" w:rsidRPr="00CB687E" w:rsidRDefault="00010375" w:rsidP="00F83EDB">
      <w:pPr>
        <w:pStyle w:val="ListParagraph"/>
        <w:numPr>
          <w:ilvl w:val="0"/>
          <w:numId w:val="2"/>
        </w:numPr>
        <w:ind w:left="284" w:hanging="284"/>
        <w:jc w:val="both"/>
      </w:pPr>
      <w:r w:rsidRPr="00CB687E">
        <w:t>Employment (including the hiring process, during employment, and post-termination);</w:t>
      </w:r>
    </w:p>
    <w:p w14:paraId="7CFA178D" w14:textId="002472D8" w:rsidR="00010375" w:rsidRPr="00CB687E" w:rsidRDefault="00010375" w:rsidP="00F83EDB">
      <w:pPr>
        <w:pStyle w:val="ListParagraph"/>
        <w:numPr>
          <w:ilvl w:val="0"/>
          <w:numId w:val="2"/>
        </w:numPr>
        <w:ind w:left="284" w:hanging="284"/>
        <w:jc w:val="both"/>
      </w:pPr>
      <w:r w:rsidRPr="00CB687E">
        <w:t xml:space="preserve">Services, goods and facilities (such as schools, </w:t>
      </w:r>
      <w:r w:rsidR="008958D4" w:rsidRPr="00CB687E">
        <w:t xml:space="preserve">local </w:t>
      </w:r>
      <w:r w:rsidRPr="00CB687E">
        <w:t>transit, police, hospitals, stores, recreational facilities and restaurants);</w:t>
      </w:r>
    </w:p>
    <w:p w14:paraId="21666FFD" w14:textId="77777777" w:rsidR="00010375" w:rsidRPr="00CB687E" w:rsidRDefault="00010375" w:rsidP="00F83EDB">
      <w:pPr>
        <w:pStyle w:val="ListParagraph"/>
        <w:numPr>
          <w:ilvl w:val="0"/>
          <w:numId w:val="2"/>
        </w:numPr>
        <w:ind w:left="284" w:hanging="284"/>
        <w:jc w:val="both"/>
      </w:pPr>
      <w:r w:rsidRPr="00CB687E">
        <w:lastRenderedPageBreak/>
        <w:t>Contracts; and</w:t>
      </w:r>
    </w:p>
    <w:p w14:paraId="68F320FF" w14:textId="394F710E" w:rsidR="008535E2" w:rsidRPr="00CB687E" w:rsidRDefault="00010375" w:rsidP="008535E2">
      <w:pPr>
        <w:pStyle w:val="ListParagraph"/>
        <w:numPr>
          <w:ilvl w:val="0"/>
          <w:numId w:val="2"/>
        </w:numPr>
        <w:ind w:left="284" w:hanging="284"/>
        <w:jc w:val="both"/>
      </w:pPr>
      <w:r w:rsidRPr="00CB687E">
        <w:t>Vocational/occupational associations (such as unions or professional associations).</w:t>
      </w:r>
    </w:p>
    <w:p w14:paraId="2DD5ED7A" w14:textId="0D2209A8" w:rsidR="00010375" w:rsidRPr="00CB687E" w:rsidRDefault="00010375" w:rsidP="002A39DE">
      <w:pPr>
        <w:pStyle w:val="Heading2"/>
        <w:jc w:val="both"/>
      </w:pPr>
      <w:bookmarkStart w:id="16" w:name="_Toc201323024"/>
      <w:bookmarkStart w:id="17" w:name="_Toc204090250"/>
      <w:r w:rsidRPr="00CB687E">
        <w:t>2.2 HRLSC’s Mandate:</w:t>
      </w:r>
      <w:bookmarkEnd w:id="16"/>
      <w:bookmarkEnd w:id="17"/>
    </w:p>
    <w:p w14:paraId="512B9C67" w14:textId="28BAD399" w:rsidR="00134CA9" w:rsidRPr="00CB687E" w:rsidRDefault="00010375" w:rsidP="006926F3">
      <w:pPr>
        <w:jc w:val="both"/>
      </w:pPr>
      <w:r w:rsidRPr="00CB687E">
        <w:t>The HRLSC is funded by Ontario’s Ministry of the Attorney General</w:t>
      </w:r>
      <w:r w:rsidR="00D67CFF">
        <w:t xml:space="preserve"> (MAG)</w:t>
      </w:r>
      <w:r w:rsidRPr="00CB687E">
        <w:t xml:space="preserve"> to provide free human rights advice and legal support services. </w:t>
      </w:r>
    </w:p>
    <w:p w14:paraId="500DF55C" w14:textId="5382A6CF" w:rsidR="006926F3" w:rsidRPr="00CB687E" w:rsidRDefault="006926F3" w:rsidP="002A39DE">
      <w:pPr>
        <w:jc w:val="both"/>
        <w:rPr>
          <w:rFonts w:ascii="Arial Narrow" w:hAnsi="Arial Narrow"/>
        </w:rPr>
      </w:pPr>
      <w:r w:rsidRPr="00CB687E">
        <w:t xml:space="preserve">Pursuant to ss. 45.12 and 45.13 of the </w:t>
      </w:r>
      <w:r w:rsidRPr="00CB687E">
        <w:rPr>
          <w:i/>
          <w:iCs/>
        </w:rPr>
        <w:t>Code</w:t>
      </w:r>
      <w:r w:rsidRPr="00CB687E">
        <w:t xml:space="preserve">, the </w:t>
      </w:r>
      <w:r w:rsidR="00F41609" w:rsidRPr="00CB687E">
        <w:t>HRLSC</w:t>
      </w:r>
      <w:r w:rsidRPr="00CB687E">
        <w:t xml:space="preserve"> provides support, and representation to individuals whose rights may have been violated under the </w:t>
      </w:r>
      <w:r w:rsidRPr="00CB687E">
        <w:rPr>
          <w:i/>
          <w:iCs/>
        </w:rPr>
        <w:t>Human Rights Code.</w:t>
      </w:r>
      <w:r w:rsidR="00134CA9" w:rsidRPr="00CB687E">
        <w:rPr>
          <w:i/>
          <w:iCs/>
        </w:rPr>
        <w:t xml:space="preserve"> </w:t>
      </w:r>
      <w:r w:rsidR="00F41609" w:rsidRPr="00CB687E">
        <w:t>The HRLSC</w:t>
      </w:r>
      <w:r w:rsidR="00134CA9" w:rsidRPr="00CB687E">
        <w:t xml:space="preserve"> also offers</w:t>
      </w:r>
      <w:r w:rsidR="00010375" w:rsidRPr="00CB687E">
        <w:t xml:space="preserve"> confidential advice</w:t>
      </w:r>
      <w:r w:rsidRPr="00CB687E">
        <w:t xml:space="preserve"> and assistance</w:t>
      </w:r>
      <w:r w:rsidR="00010375" w:rsidRPr="00CB687E">
        <w:t xml:space="preserve">, </w:t>
      </w:r>
      <w:r w:rsidRPr="00CB687E">
        <w:t>legal and otherwise (</w:t>
      </w:r>
      <w:r w:rsidR="00334C08" w:rsidRPr="00CB687E">
        <w:t xml:space="preserve">including </w:t>
      </w:r>
      <w:r w:rsidRPr="00CB687E">
        <w:t>information, resources, educational outreach),</w:t>
      </w:r>
      <w:r w:rsidR="00F41609" w:rsidRPr="00CB687E">
        <w:t xml:space="preserve"> </w:t>
      </w:r>
      <w:r w:rsidRPr="00CB687E">
        <w:t xml:space="preserve">respecting the infringement of rights under the </w:t>
      </w:r>
      <w:r w:rsidRPr="00CB687E">
        <w:rPr>
          <w:i/>
          <w:iCs/>
        </w:rPr>
        <w:t>Code</w:t>
      </w:r>
      <w:r w:rsidRPr="00CB687E">
        <w:t xml:space="preserve">, including to help Ontarians exercise their rights and redress options under the </w:t>
      </w:r>
      <w:r w:rsidRPr="00CB687E">
        <w:rPr>
          <w:i/>
          <w:iCs/>
        </w:rPr>
        <w:t>Code</w:t>
      </w:r>
      <w:r w:rsidRPr="00CB687E">
        <w:t xml:space="preserve"> and resolve disputes involving discrimination, harassment, or reprisal. </w:t>
      </w:r>
    </w:p>
    <w:p w14:paraId="2A4ADD60" w14:textId="77777777" w:rsidR="004607E9" w:rsidRDefault="004607E9" w:rsidP="002A39DE">
      <w:pPr>
        <w:pStyle w:val="Heading3"/>
        <w:jc w:val="both"/>
        <w:sectPr w:rsidR="004607E9" w:rsidSect="00C029B3">
          <w:type w:val="continuous"/>
          <w:pgSz w:w="12240" w:h="15840"/>
          <w:pgMar w:top="1440" w:right="1440" w:bottom="1440" w:left="1440" w:header="720" w:footer="720" w:gutter="0"/>
          <w:pgNumType w:start="5"/>
          <w:cols w:space="720"/>
          <w:titlePg/>
          <w:docGrid w:linePitch="360"/>
        </w:sectPr>
      </w:pPr>
      <w:bookmarkStart w:id="18" w:name="_Toc201323025"/>
      <w:bookmarkStart w:id="19" w:name="_Toc201753977"/>
    </w:p>
    <w:p w14:paraId="543067A2" w14:textId="77777777" w:rsidR="00010375" w:rsidRPr="00CB687E" w:rsidRDefault="00010375" w:rsidP="002A39DE">
      <w:pPr>
        <w:pStyle w:val="Heading3"/>
        <w:jc w:val="both"/>
      </w:pPr>
      <w:bookmarkStart w:id="20" w:name="_Toc204090251"/>
      <w:r w:rsidRPr="00CB687E">
        <w:t>Vision:</w:t>
      </w:r>
      <w:bookmarkEnd w:id="18"/>
      <w:bookmarkEnd w:id="19"/>
      <w:bookmarkEnd w:id="20"/>
    </w:p>
    <w:p w14:paraId="6004A6D1" w14:textId="77777777" w:rsidR="00010375" w:rsidRPr="00CB687E" w:rsidRDefault="00010375" w:rsidP="002A39DE">
      <w:pPr>
        <w:jc w:val="both"/>
      </w:pPr>
      <w:r w:rsidRPr="00CB687E">
        <w:t>Advancing an equitable society where everyone lives with dignity, respect, and promotes human rights.</w:t>
      </w:r>
    </w:p>
    <w:p w14:paraId="2D807F29" w14:textId="77777777" w:rsidR="00010375" w:rsidRPr="00CB687E" w:rsidRDefault="00010375" w:rsidP="002A39DE">
      <w:pPr>
        <w:pStyle w:val="Heading3"/>
        <w:jc w:val="both"/>
      </w:pPr>
      <w:bookmarkStart w:id="21" w:name="_Toc201323026"/>
      <w:bookmarkStart w:id="22" w:name="_Toc201753978"/>
      <w:bookmarkStart w:id="23" w:name="_Toc204090252"/>
      <w:r w:rsidRPr="00CB687E">
        <w:t>Mission:</w:t>
      </w:r>
      <w:bookmarkEnd w:id="21"/>
      <w:bookmarkEnd w:id="22"/>
      <w:bookmarkEnd w:id="23"/>
    </w:p>
    <w:p w14:paraId="359B1C91" w14:textId="5825C123" w:rsidR="00010375" w:rsidRPr="00CB687E" w:rsidRDefault="00010375" w:rsidP="002A39DE">
      <w:pPr>
        <w:jc w:val="both"/>
      </w:pPr>
      <w:r w:rsidRPr="00CB687E">
        <w:t>Empowering people and communities experiencing discrimination by providing legal services</w:t>
      </w:r>
      <w:r w:rsidR="00134CA9" w:rsidRPr="00CB687E">
        <w:t xml:space="preserve"> and supports</w:t>
      </w:r>
      <w:r w:rsidRPr="00CB687E">
        <w:t>, strengthening their capacity to navigate the human rights system, and advancing access to</w:t>
      </w:r>
      <w:r w:rsidR="00134CA9" w:rsidRPr="00CB687E">
        <w:t xml:space="preserve"> and the attainment of</w:t>
      </w:r>
      <w:r w:rsidRPr="00CB687E">
        <w:t xml:space="preserve"> justice in Ontario.</w:t>
      </w:r>
    </w:p>
    <w:p w14:paraId="1AA3A3E5" w14:textId="77777777" w:rsidR="00010375" w:rsidRPr="00CB687E" w:rsidRDefault="00010375" w:rsidP="002A39DE">
      <w:pPr>
        <w:pStyle w:val="Heading3"/>
        <w:jc w:val="both"/>
      </w:pPr>
      <w:bookmarkStart w:id="24" w:name="_Toc201323027"/>
      <w:bookmarkStart w:id="25" w:name="_Toc201753979"/>
      <w:bookmarkStart w:id="26" w:name="_Toc204090253"/>
      <w:r w:rsidRPr="00CB687E">
        <w:t>Values:</w:t>
      </w:r>
      <w:bookmarkEnd w:id="24"/>
      <w:bookmarkEnd w:id="25"/>
      <w:bookmarkEnd w:id="26"/>
    </w:p>
    <w:p w14:paraId="12D34B08" w14:textId="77777777" w:rsidR="00010375" w:rsidRPr="00CB687E" w:rsidRDefault="00010375" w:rsidP="002A39DE">
      <w:pPr>
        <w:jc w:val="both"/>
      </w:pPr>
      <w:r w:rsidRPr="00CB687E">
        <w:rPr>
          <w:b/>
          <w:bCs/>
        </w:rPr>
        <w:t>Equity and Inclusion</w:t>
      </w:r>
      <w:r w:rsidRPr="00CB687E">
        <w:t>: Treating everyone with dignity, respect, and compassion.</w:t>
      </w:r>
    </w:p>
    <w:p w14:paraId="4EF22648" w14:textId="650AC521" w:rsidR="00010375" w:rsidRPr="00CB687E" w:rsidRDefault="00010375" w:rsidP="002A39DE">
      <w:pPr>
        <w:jc w:val="both"/>
      </w:pPr>
      <w:r w:rsidRPr="00CB687E">
        <w:rPr>
          <w:b/>
          <w:bCs/>
        </w:rPr>
        <w:t>Excellence</w:t>
      </w:r>
      <w:r w:rsidRPr="00CB687E">
        <w:t xml:space="preserve">: Delivering </w:t>
      </w:r>
      <w:r w:rsidR="00134CA9" w:rsidRPr="00CB687E">
        <w:t>independent, responsive, high quality and high-impact legal services and supports and pursuing learning, knowledge-sharing and innovation.</w:t>
      </w:r>
    </w:p>
    <w:p w14:paraId="3AB370B9" w14:textId="77777777" w:rsidR="00010375" w:rsidRPr="00CB687E" w:rsidRDefault="00010375" w:rsidP="002A39DE">
      <w:pPr>
        <w:jc w:val="both"/>
      </w:pPr>
      <w:r w:rsidRPr="00CB687E">
        <w:rPr>
          <w:b/>
          <w:bCs/>
        </w:rPr>
        <w:t>Integrity</w:t>
      </w:r>
      <w:r w:rsidRPr="00CB687E">
        <w:t>: Being principled, accountable, and transparent.</w:t>
      </w:r>
    </w:p>
    <w:p w14:paraId="151B6EDD" w14:textId="77777777" w:rsidR="004607E9" w:rsidRDefault="004607E9" w:rsidP="002A39DE">
      <w:pPr>
        <w:pStyle w:val="Heading2"/>
        <w:jc w:val="both"/>
        <w:sectPr w:rsidR="004607E9" w:rsidSect="004607E9">
          <w:type w:val="continuous"/>
          <w:pgSz w:w="12240" w:h="15840"/>
          <w:pgMar w:top="1440" w:right="1440" w:bottom="1440" w:left="1440" w:header="720" w:footer="720" w:gutter="0"/>
          <w:pgNumType w:start="0"/>
          <w:cols w:num="2" w:space="720"/>
          <w:titlePg/>
          <w:docGrid w:linePitch="360"/>
        </w:sectPr>
      </w:pPr>
      <w:bookmarkStart w:id="27" w:name="_Toc201323028"/>
    </w:p>
    <w:p w14:paraId="10F83783" w14:textId="77777777" w:rsidR="00010375" w:rsidRPr="00CB687E" w:rsidRDefault="00010375" w:rsidP="002A39DE">
      <w:pPr>
        <w:pStyle w:val="Heading2"/>
        <w:jc w:val="both"/>
      </w:pPr>
      <w:bookmarkStart w:id="28" w:name="_Toc204090254"/>
      <w:r w:rsidRPr="00CB687E">
        <w:t>2.3 Services:</w:t>
      </w:r>
      <w:bookmarkEnd w:id="27"/>
      <w:bookmarkEnd w:id="28"/>
    </w:p>
    <w:p w14:paraId="2F665953" w14:textId="51CDF565" w:rsidR="00010375" w:rsidRPr="00CB687E" w:rsidRDefault="00010375" w:rsidP="002A39DE">
      <w:pPr>
        <w:jc w:val="both"/>
      </w:pPr>
      <w:r w:rsidRPr="00CB687E">
        <w:t xml:space="preserve">The HRLSC provides free legal advice and support, </w:t>
      </w:r>
      <w:r w:rsidR="00731178" w:rsidRPr="00CB687E">
        <w:t xml:space="preserve">primarily </w:t>
      </w:r>
      <w:r w:rsidRPr="00CB687E">
        <w:t>over the phone</w:t>
      </w:r>
      <w:r w:rsidR="00731178" w:rsidRPr="00CB687E">
        <w:t xml:space="preserve"> (alternative accommodations are available, as is an online portal for inquiries). </w:t>
      </w:r>
      <w:r w:rsidR="008958D4" w:rsidRPr="00CB687E">
        <w:t>The HRLSC also</w:t>
      </w:r>
      <w:r w:rsidRPr="00CB687E">
        <w:t xml:space="preserve"> offer</w:t>
      </w:r>
      <w:r w:rsidR="008958D4" w:rsidRPr="00CB687E">
        <w:t>s</w:t>
      </w:r>
      <w:r w:rsidRPr="00CB687E">
        <w:t xml:space="preserve"> in-depth advice and representation to Ontarians for HRTO mediations and hearings. It helps resolve disputes, negotiate settlements, enforce HRTO orders, and represent clients at judicial reviews and appeals. The HRLSC also offers educational outreach and online resources to increase awareness and understanding of </w:t>
      </w:r>
      <w:r w:rsidR="008958D4" w:rsidRPr="00CB687E">
        <w:t xml:space="preserve">the province’s </w:t>
      </w:r>
      <w:r w:rsidRPr="00CB687E">
        <w:t xml:space="preserve">human rights </w:t>
      </w:r>
      <w:r w:rsidR="008958D4" w:rsidRPr="00CB687E">
        <w:t xml:space="preserve">system </w:t>
      </w:r>
      <w:r w:rsidRPr="00CB687E">
        <w:t xml:space="preserve">and </w:t>
      </w:r>
      <w:r w:rsidR="008958D4" w:rsidRPr="00CB687E">
        <w:t xml:space="preserve">the HRLSC’s </w:t>
      </w:r>
      <w:r w:rsidRPr="00CB687E">
        <w:t>legal support services.</w:t>
      </w:r>
    </w:p>
    <w:p w14:paraId="17A5B4A9" w14:textId="77777777" w:rsidR="00044F18" w:rsidRPr="00CB687E" w:rsidRDefault="00044F18" w:rsidP="00044F18">
      <w:pPr>
        <w:pStyle w:val="Heading1"/>
        <w:numPr>
          <w:ilvl w:val="0"/>
          <w:numId w:val="6"/>
        </w:numPr>
        <w:tabs>
          <w:tab w:val="num" w:pos="360"/>
        </w:tabs>
        <w:ind w:left="0" w:firstLine="0"/>
      </w:pPr>
      <w:bookmarkStart w:id="29" w:name="_Toc204090255"/>
      <w:r w:rsidRPr="00CB687E">
        <w:lastRenderedPageBreak/>
        <w:t>Activities</w:t>
      </w:r>
      <w:bookmarkEnd w:id="29"/>
    </w:p>
    <w:p w14:paraId="7D654DDB" w14:textId="37302CD0" w:rsidR="00CC5B78" w:rsidRPr="00CB687E" w:rsidRDefault="00C2006C" w:rsidP="00C2006C">
      <w:pPr>
        <w:pStyle w:val="Heading2"/>
        <w:jc w:val="both"/>
      </w:pPr>
      <w:bookmarkStart w:id="30" w:name="_Toc204090256"/>
      <w:bookmarkStart w:id="31" w:name="_Toc201323030"/>
      <w:r w:rsidRPr="00CB687E">
        <w:t xml:space="preserve">3.1 </w:t>
      </w:r>
      <w:r w:rsidR="00CC5B78" w:rsidRPr="00CB687E">
        <w:t xml:space="preserve">Release of </w:t>
      </w:r>
      <w:r w:rsidRPr="00CB687E">
        <w:t xml:space="preserve">new </w:t>
      </w:r>
      <w:r w:rsidR="001E0518" w:rsidRPr="00CB687E">
        <w:t>Five-Year</w:t>
      </w:r>
      <w:r w:rsidR="00086A1B" w:rsidRPr="00CB687E">
        <w:t xml:space="preserve"> Strategic</w:t>
      </w:r>
      <w:r w:rsidR="00CC5B78" w:rsidRPr="00CB687E">
        <w:t xml:space="preserve"> Plan</w:t>
      </w:r>
      <w:bookmarkEnd w:id="30"/>
      <w:r w:rsidR="00CC5B78" w:rsidRPr="00CB687E">
        <w:t xml:space="preserve"> </w:t>
      </w:r>
    </w:p>
    <w:p w14:paraId="0A524C65" w14:textId="308B2FCA" w:rsidR="001E0518" w:rsidRPr="00CB687E" w:rsidRDefault="001E0518" w:rsidP="001E0518">
      <w:r w:rsidRPr="00CB687E">
        <w:t xml:space="preserve">In January of 2025, following an intensive visioning process, the HRLSC </w:t>
      </w:r>
      <w:r w:rsidR="00C2006C" w:rsidRPr="00CB687E">
        <w:t xml:space="preserve">publicly released </w:t>
      </w:r>
      <w:r w:rsidRPr="00CB687E">
        <w:t>its</w:t>
      </w:r>
      <w:r w:rsidR="000D3A04">
        <w:t xml:space="preserve"> new</w:t>
      </w:r>
      <w:r>
        <w:t xml:space="preserve"> Strategic Plan, “</w:t>
      </w:r>
      <w:hyperlink r:id="rId19">
        <w:r w:rsidRPr="4D8E212D">
          <w:rPr>
            <w:rStyle w:val="Hyperlink"/>
            <w:b/>
            <w:bCs/>
          </w:rPr>
          <w:t>Realizing Human Rights Together: Empowering Access to Justice</w:t>
        </w:r>
      </w:hyperlink>
      <w:r>
        <w:t xml:space="preserve">”, along with </w:t>
      </w:r>
      <w:r w:rsidR="00C2006C">
        <w:t>a</w:t>
      </w:r>
      <w:r>
        <w:t xml:space="preserve"> </w:t>
      </w:r>
      <w:hyperlink r:id="rId20">
        <w:r w:rsidRPr="4D8E212D">
          <w:rPr>
            <w:rStyle w:val="Hyperlink"/>
            <w:b/>
            <w:bCs/>
          </w:rPr>
          <w:t xml:space="preserve">Stakeholder </w:t>
        </w:r>
        <w:r w:rsidR="00C2006C" w:rsidRPr="4D8E212D">
          <w:rPr>
            <w:rStyle w:val="Hyperlink"/>
            <w:b/>
            <w:bCs/>
          </w:rPr>
          <w:t>Engagement</w:t>
        </w:r>
        <w:r w:rsidRPr="4D8E212D">
          <w:rPr>
            <w:rStyle w:val="Hyperlink"/>
            <w:b/>
            <w:bCs/>
          </w:rPr>
          <w:t xml:space="preserve"> Report</w:t>
        </w:r>
      </w:hyperlink>
      <w:r>
        <w:t>, which informed th</w:t>
      </w:r>
      <w:r w:rsidR="00C2006C">
        <w:t>e development of this</w:t>
      </w:r>
      <w:r>
        <w:t xml:space="preserve"> Plan. </w:t>
      </w:r>
      <w:r w:rsidR="000D3A04" w:rsidRPr="00CB687E">
        <w:t>This is the</w:t>
      </w:r>
      <w:r w:rsidR="00EF12B6" w:rsidRPr="00CB687E">
        <w:t xml:space="preserve"> HRLSC’s</w:t>
      </w:r>
      <w:r w:rsidR="000D3A04" w:rsidRPr="00CB687E">
        <w:t xml:space="preserve"> first </w:t>
      </w:r>
      <w:r w:rsidR="00517A2A" w:rsidRPr="00CB687E">
        <w:t xml:space="preserve">Plan </w:t>
      </w:r>
      <w:r w:rsidR="08899270">
        <w:t xml:space="preserve">since </w:t>
      </w:r>
      <w:r w:rsidR="23F376E1">
        <w:t>2013</w:t>
      </w:r>
      <w:r w:rsidR="134B58C1">
        <w:t xml:space="preserve"> and the first </w:t>
      </w:r>
      <w:r w:rsidR="00517A2A" w:rsidRPr="00CB687E">
        <w:t xml:space="preserve">to </w:t>
      </w:r>
      <w:r w:rsidR="00642E2C" w:rsidRPr="00CB687E">
        <w:t>cover</w:t>
      </w:r>
      <w:r w:rsidR="00EF12B6" w:rsidRPr="00CB687E">
        <w:t xml:space="preserve"> </w:t>
      </w:r>
      <w:r w:rsidR="00517A2A" w:rsidRPr="00CB687E">
        <w:t xml:space="preserve">a five-year </w:t>
      </w:r>
      <w:r w:rsidR="00EF12B6" w:rsidRPr="00CB687E">
        <w:t>period.</w:t>
      </w:r>
    </w:p>
    <w:p w14:paraId="0E8A9378" w14:textId="77777777" w:rsidR="001E0518" w:rsidRPr="00CB687E" w:rsidRDefault="001E0518" w:rsidP="001E0518">
      <w:r w:rsidRPr="00CB687E">
        <w:t>The four priorities and nine goals found in this Strategic Plan will direct the HRLSC’s activities towards fulfilling the Centre’s new Vision, Mission and Values for the next five years. The priorities identified are focused on creating better access to a broader range of human rights legal support services, strengthening our leadership role in support of people seeking human rights justice to advance systemic change, law reform, jurisprudence, reconciliation and experiential education, and creating organizational sustainability for the HRLSC.</w:t>
      </w:r>
    </w:p>
    <w:p w14:paraId="33CA3F92" w14:textId="49509105" w:rsidR="004151CF" w:rsidRPr="00CB687E" w:rsidRDefault="00C57145" w:rsidP="004151CF">
      <w:r w:rsidRPr="00CB687E">
        <w:t xml:space="preserve">The </w:t>
      </w:r>
      <w:r w:rsidR="004151CF" w:rsidRPr="00CB687E">
        <w:t>HRLSC</w:t>
      </w:r>
      <w:r w:rsidRPr="00CB687E">
        <w:t>’s</w:t>
      </w:r>
      <w:r w:rsidR="004151CF" w:rsidRPr="00CB687E">
        <w:t xml:space="preserve"> staff</w:t>
      </w:r>
      <w:r w:rsidR="006B5704" w:rsidRPr="00CB687E">
        <w:t xml:space="preserve"> have begun</w:t>
      </w:r>
      <w:r w:rsidR="004151CF" w:rsidRPr="00CB687E">
        <w:t xml:space="preserve"> working on implementing the priorities laid out in the plan.</w:t>
      </w:r>
      <w:r w:rsidR="00735D43" w:rsidRPr="00CB687E">
        <w:t xml:space="preserve"> This implementation required additional labour in collecting, analyzing and sharing dat</w:t>
      </w:r>
      <w:r w:rsidR="00716150" w:rsidRPr="00CB687E">
        <w:t>a</w:t>
      </w:r>
      <w:r w:rsidR="00735D43" w:rsidRPr="00CB687E">
        <w:t xml:space="preserve">, along </w:t>
      </w:r>
      <w:r w:rsidR="00716150" w:rsidRPr="00CB687E">
        <w:t>with expanded</w:t>
      </w:r>
      <w:r w:rsidR="00735D43" w:rsidRPr="00CB687E">
        <w:t xml:space="preserve"> </w:t>
      </w:r>
      <w:r w:rsidR="2605F09A">
        <w:t xml:space="preserve">community </w:t>
      </w:r>
      <w:r w:rsidR="00735D43" w:rsidRPr="00CB687E">
        <w:t>stakeholder</w:t>
      </w:r>
      <w:r w:rsidR="3C267C0A">
        <w:t xml:space="preserve">, </w:t>
      </w:r>
      <w:r w:rsidR="05B43EF1">
        <w:t xml:space="preserve">government, </w:t>
      </w:r>
      <w:r w:rsidR="3C267C0A">
        <w:t>media</w:t>
      </w:r>
      <w:r w:rsidR="00735D43" w:rsidRPr="00CB687E">
        <w:t xml:space="preserve"> and external relations. </w:t>
      </w:r>
      <w:r w:rsidR="00735D43">
        <w:t xml:space="preserve">To </w:t>
      </w:r>
      <w:r w:rsidR="00716150">
        <w:t>this end</w:t>
      </w:r>
      <w:r w:rsidR="00735D43">
        <w:t xml:space="preserve">, </w:t>
      </w:r>
      <w:r w:rsidR="60A9D6E0">
        <w:t xml:space="preserve">and to support HRLSC’s efforts to acquire new funding and demonstrate HRLSC’s value to the public, </w:t>
      </w:r>
      <w:r w:rsidR="00735D43">
        <w:t>the</w:t>
      </w:r>
      <w:r w:rsidR="00735D43" w:rsidRPr="00CB687E">
        <w:t xml:space="preserve"> HRLSC added</w:t>
      </w:r>
      <w:r w:rsidR="00D6675A" w:rsidRPr="00CB687E">
        <w:t xml:space="preserve"> </w:t>
      </w:r>
      <w:r w:rsidR="00716150" w:rsidRPr="00CB687E">
        <w:t>a communications</w:t>
      </w:r>
      <w:r w:rsidR="00465ED3" w:rsidRPr="00CB687E">
        <w:t xml:space="preserve"> manager,</w:t>
      </w:r>
      <w:r w:rsidR="003A5FB7" w:rsidRPr="00CB687E">
        <w:t xml:space="preserve"> as well as a policy</w:t>
      </w:r>
      <w:r w:rsidR="00716150" w:rsidRPr="00CB687E">
        <w:t xml:space="preserve">, </w:t>
      </w:r>
      <w:r w:rsidR="003A5FB7" w:rsidRPr="00CB687E">
        <w:t>research</w:t>
      </w:r>
      <w:r w:rsidR="00716150" w:rsidRPr="00CB687E">
        <w:t xml:space="preserve"> and strategic</w:t>
      </w:r>
      <w:r w:rsidR="00465ED3" w:rsidRPr="00CB687E">
        <w:t xml:space="preserve"> advisor.</w:t>
      </w:r>
      <w:r w:rsidR="006348B0" w:rsidRPr="00CB687E">
        <w:t xml:space="preserve"> </w:t>
      </w:r>
      <w:r w:rsidR="004151CF" w:rsidRPr="00CB687E">
        <w:t xml:space="preserve">The focus of this past year’s work was on reviewing the current landscape, including assessing risks, opportunities and change management strategies, and developing implementation plans in this context. A Strategic Implementation Planning Retreat was held with the Management Team in the Fall, with staff being further engaged through staff meetings and surveys. </w:t>
      </w:r>
    </w:p>
    <w:p w14:paraId="52A76990" w14:textId="1A9467E6" w:rsidR="004151CF" w:rsidRPr="00CB687E" w:rsidRDefault="00DB06C7" w:rsidP="004151CF">
      <w:r w:rsidRPr="00CB687E">
        <w:t>In the first year of implementing its new plan, one key achievement of the HRLSC was its successful application for the Law Foundation of Ontario's Responsive Grant, which will help support the Centre's operations</w:t>
      </w:r>
      <w:r w:rsidR="6B1D937E">
        <w:t xml:space="preserve"> (see section 3.2.7 for more on this Grant)</w:t>
      </w:r>
      <w:r>
        <w:t>.</w:t>
      </w:r>
      <w:r w:rsidR="00115888" w:rsidRPr="00CB687E">
        <w:t xml:space="preserve"> </w:t>
      </w:r>
      <w:r w:rsidR="49CBED93">
        <w:t xml:space="preserve">The HRLSC made </w:t>
      </w:r>
      <w:r w:rsidR="0F1D5579">
        <w:t>several</w:t>
      </w:r>
      <w:r w:rsidR="49CBED93">
        <w:t xml:space="preserve"> grant funding submissions</w:t>
      </w:r>
      <w:r w:rsidR="478A3870">
        <w:t xml:space="preserve"> this past fiscal year</w:t>
      </w:r>
      <w:r w:rsidR="49CBED93">
        <w:t xml:space="preserve">. </w:t>
      </w:r>
      <w:r w:rsidR="60547AEA">
        <w:t>This reflects</w:t>
      </w:r>
      <w:r w:rsidR="00115888" w:rsidRPr="00CB687E">
        <w:t xml:space="preserve"> the </w:t>
      </w:r>
      <w:r w:rsidR="60547AEA">
        <w:t>HRLSC’s new strategic pri</w:t>
      </w:r>
      <w:r w:rsidR="69974727">
        <w:t xml:space="preserve">oritization of efforts to </w:t>
      </w:r>
      <w:r w:rsidR="60547AEA">
        <w:t xml:space="preserve">diversify and expand </w:t>
      </w:r>
      <w:r w:rsidR="00115888" w:rsidRPr="00CB687E">
        <w:t xml:space="preserve">its funding </w:t>
      </w:r>
      <w:r w:rsidR="60547AEA">
        <w:t xml:space="preserve">sources, </w:t>
      </w:r>
      <w:r w:rsidR="37C5E953">
        <w:t>including through such time-limited grants</w:t>
      </w:r>
      <w:r w:rsidR="57034C7F">
        <w:t xml:space="preserve"> and resource partnerships</w:t>
      </w:r>
      <w:r w:rsidR="37C5E953">
        <w:t xml:space="preserve">, to supplement </w:t>
      </w:r>
      <w:r w:rsidR="7612693A">
        <w:t>the</w:t>
      </w:r>
      <w:r w:rsidR="37C5E953">
        <w:t xml:space="preserve"> </w:t>
      </w:r>
      <w:r w:rsidR="7612693A">
        <w:t>Centre’s</w:t>
      </w:r>
      <w:r w:rsidR="37C5E953">
        <w:t xml:space="preserve"> core funding </w:t>
      </w:r>
      <w:r w:rsidR="73D5B6BC">
        <w:t xml:space="preserve">in the interests of </w:t>
      </w:r>
      <w:r w:rsidR="6ACB3F5D">
        <w:t xml:space="preserve">its </w:t>
      </w:r>
      <w:r w:rsidR="483515D3">
        <w:t xml:space="preserve">shorter and </w:t>
      </w:r>
      <w:r w:rsidR="73D5B6BC">
        <w:t xml:space="preserve">longer-term </w:t>
      </w:r>
      <w:r w:rsidR="3279DFE7">
        <w:t xml:space="preserve">organizational effectiveness and </w:t>
      </w:r>
      <w:r w:rsidR="73D5B6BC">
        <w:t>sustainability</w:t>
      </w:r>
      <w:r w:rsidR="63EDC3B5">
        <w:t>.</w:t>
      </w:r>
      <w:r w:rsidR="570739E2">
        <w:t xml:space="preserve"> </w:t>
      </w:r>
      <w:r w:rsidR="2AC5774F">
        <w:t xml:space="preserve">The HRLSC also continued to work </w:t>
      </w:r>
      <w:r w:rsidR="2AC5774F">
        <w:lastRenderedPageBreak/>
        <w:t xml:space="preserve">extensively with its core funder, MAG, on its Business Case for funding increases to sustain our staffing and operations. </w:t>
      </w:r>
    </w:p>
    <w:p w14:paraId="6049BFCA" w14:textId="00E93904" w:rsidR="004151CF" w:rsidRPr="00C07626" w:rsidRDefault="570739E2" w:rsidP="004151CF">
      <w:r w:rsidRPr="00C07626">
        <w:t xml:space="preserve">The HRLSC is aware of the challenges and limitations of not being able to rely </w:t>
      </w:r>
      <w:r w:rsidR="5C5D0430" w:rsidRPr="00C07626">
        <w:t>exclusively</w:t>
      </w:r>
      <w:r w:rsidRPr="00C07626">
        <w:t xml:space="preserve"> on stable core funding, but has little choice but to seek out new </w:t>
      </w:r>
      <w:r w:rsidR="6F2EDAAD" w:rsidRPr="00C07626">
        <w:t xml:space="preserve">funding and </w:t>
      </w:r>
      <w:r w:rsidR="0846679A" w:rsidRPr="00C07626">
        <w:t>resource prospects</w:t>
      </w:r>
      <w:r w:rsidR="1F068A61" w:rsidRPr="00C07626">
        <w:t xml:space="preserve"> (however much time-limited)</w:t>
      </w:r>
      <w:r w:rsidRPr="00C07626">
        <w:t xml:space="preserve"> to keep up with rising costs and inflation</w:t>
      </w:r>
      <w:r w:rsidR="1BB0B0BF" w:rsidRPr="00C07626">
        <w:t xml:space="preserve"> (see section 7.3 for more on </w:t>
      </w:r>
      <w:r w:rsidR="62562B2F" w:rsidRPr="00C07626">
        <w:t xml:space="preserve">some of </w:t>
      </w:r>
      <w:r w:rsidR="1BB0B0BF" w:rsidRPr="00C07626">
        <w:t xml:space="preserve">the associated risks and benefits </w:t>
      </w:r>
      <w:r w:rsidR="16B1F639" w:rsidRPr="00C07626">
        <w:t>in this respect</w:t>
      </w:r>
      <w:r w:rsidR="1BB0B0BF" w:rsidRPr="00C07626">
        <w:t>)</w:t>
      </w:r>
      <w:r w:rsidRPr="00C07626">
        <w:t xml:space="preserve">. </w:t>
      </w:r>
    </w:p>
    <w:p w14:paraId="15BFE011" w14:textId="5EE4AABB" w:rsidR="004151CF" w:rsidRPr="00CB687E" w:rsidRDefault="004151CF" w:rsidP="00C57145">
      <w:r w:rsidRPr="00CB687E">
        <w:t xml:space="preserve"> </w:t>
      </w:r>
      <w:r w:rsidR="00C57145" w:rsidRPr="00CB687E">
        <w:t xml:space="preserve">The </w:t>
      </w:r>
      <w:r w:rsidRPr="00CB687E">
        <w:t>HRLSC’s focus on planning and resources included the HRLSC’s adoption of a new Compensation Philosophy</w:t>
      </w:r>
      <w:r w:rsidR="00C57145" w:rsidRPr="00CB687E">
        <w:t xml:space="preserve">. This Philosophy will </w:t>
      </w:r>
      <w:r w:rsidRPr="00CB687E">
        <w:t xml:space="preserve">help advance the HRLSC’s strategic priority of making the HRLSC an employer of choice. Recognizing the critical importance of recruiting and retaining talented staff, the philosophy sets out the HRLSC’s compensation goals and aspirations to help inform the HRLSC’s overall approach </w:t>
      </w:r>
      <w:r w:rsidR="006B5704" w:rsidRPr="00CB687E">
        <w:t xml:space="preserve">and a principled methodology </w:t>
      </w:r>
      <w:r w:rsidRPr="00CB687E">
        <w:t xml:space="preserve">to compensation for all occupational groups. </w:t>
      </w:r>
    </w:p>
    <w:p w14:paraId="34762731" w14:textId="11F65CC2" w:rsidR="004151CF" w:rsidRPr="00CB687E" w:rsidRDefault="001E0518" w:rsidP="001E0518">
      <w:r w:rsidRPr="00CB687E">
        <w:t>Another highlight for the HRLSC’s Strategic Plan implementation in the 2024</w:t>
      </w:r>
      <w:r w:rsidR="009B65A0" w:rsidRPr="009B65A0">
        <w:t>–</w:t>
      </w:r>
      <w:r w:rsidRPr="00CB687E">
        <w:t xml:space="preserve">2025 fiscal period </w:t>
      </w:r>
      <w:r w:rsidR="00AD3D64" w:rsidRPr="00CB687E">
        <w:t>wa</w:t>
      </w:r>
      <w:r w:rsidRPr="00CB687E">
        <w:t xml:space="preserve">s </w:t>
      </w:r>
      <w:r w:rsidR="00DF7658" w:rsidRPr="00CB687E">
        <w:t xml:space="preserve">forging and </w:t>
      </w:r>
      <w:r w:rsidRPr="00CB687E">
        <w:t>deepening collaboration with some longstanding partners. Such collaboration include</w:t>
      </w:r>
      <w:r w:rsidR="00AD3D64" w:rsidRPr="00CB687E">
        <w:t>d</w:t>
      </w:r>
      <w:r w:rsidRPr="00CB687E">
        <w:t xml:space="preserve"> the development of </w:t>
      </w:r>
      <w:r w:rsidR="00DF7658" w:rsidRPr="00CB687E">
        <w:t xml:space="preserve">a </w:t>
      </w:r>
      <w:r w:rsidRPr="00CB687E">
        <w:t xml:space="preserve">partnership (as noted </w:t>
      </w:r>
      <w:r w:rsidR="00AD3D64" w:rsidRPr="00CB687E">
        <w:t>in section 3.2</w:t>
      </w:r>
      <w:r w:rsidRPr="00CB687E">
        <w:t xml:space="preserve"> under “Partnerships”) with CLEO for the delivery of </w:t>
      </w:r>
      <w:r w:rsidR="00DF7658" w:rsidRPr="00CB687E">
        <w:t>a</w:t>
      </w:r>
      <w:r w:rsidR="00842A55" w:rsidRPr="00CB687E">
        <w:t xml:space="preserve"> </w:t>
      </w:r>
      <w:r w:rsidRPr="00CB687E">
        <w:t xml:space="preserve">new Guided Pathways tool to support individuals in navigating the HRTO’s application process. </w:t>
      </w:r>
      <w:r w:rsidR="00AD3D64" w:rsidRPr="00CB687E">
        <w:t>The</w:t>
      </w:r>
      <w:r w:rsidRPr="00CB687E">
        <w:t xml:space="preserve"> HRLSC</w:t>
      </w:r>
      <w:r w:rsidR="00AD3D64" w:rsidRPr="00CB687E">
        <w:t xml:space="preserve"> </w:t>
      </w:r>
      <w:r w:rsidRPr="00CB687E">
        <w:t xml:space="preserve">grew its </w:t>
      </w:r>
      <w:r w:rsidR="00AD3D64" w:rsidRPr="00CB687E">
        <w:t xml:space="preserve">partnership </w:t>
      </w:r>
      <w:r w:rsidRPr="00CB687E">
        <w:t xml:space="preserve">with </w:t>
      </w:r>
      <w:r w:rsidR="00DF7658" w:rsidRPr="00CB687E">
        <w:t xml:space="preserve">York University’s </w:t>
      </w:r>
      <w:r w:rsidRPr="00CB687E">
        <w:t xml:space="preserve">Osgoode Hall Law School through the development of a </w:t>
      </w:r>
      <w:r w:rsidR="00AD3D64" w:rsidRPr="00CB687E">
        <w:t xml:space="preserve">new </w:t>
      </w:r>
      <w:r w:rsidR="00DF7658" w:rsidRPr="00CB687E">
        <w:t xml:space="preserve">LFO-funded </w:t>
      </w:r>
      <w:r w:rsidR="00AD3D64" w:rsidRPr="00CB687E">
        <w:t xml:space="preserve">Mediation, Early Resolution and Experiential Education Training (MEET) </w:t>
      </w:r>
      <w:r w:rsidRPr="00CB687E">
        <w:t>Pilot Project. These partnerships and programs support the HRLSC’s priorities of improving access and service options for people across Ontario.</w:t>
      </w:r>
    </w:p>
    <w:p w14:paraId="70B425F6" w14:textId="51E96F0A" w:rsidR="002A5EC1" w:rsidRPr="00CB687E" w:rsidRDefault="00DF7658" w:rsidP="001E0518">
      <w:r w:rsidRPr="00CB687E">
        <w:t>In</w:t>
      </w:r>
      <w:r w:rsidR="00AD3D64" w:rsidRPr="00CB687E">
        <w:t xml:space="preserve"> furtherance of our new Strategic Plan goals </w:t>
      </w:r>
      <w:r w:rsidRPr="00CB687E">
        <w:t xml:space="preserve">to </w:t>
      </w:r>
      <w:r w:rsidR="00AD3D64" w:rsidRPr="00CB687E">
        <w:t xml:space="preserve">strengthen our infrastructure, </w:t>
      </w:r>
      <w:r w:rsidR="001E0518" w:rsidRPr="00CB687E">
        <w:t>the Centre</w:t>
      </w:r>
      <w:r w:rsidR="00B373E0" w:rsidRPr="00CB687E">
        <w:t xml:space="preserve"> </w:t>
      </w:r>
      <w:r w:rsidR="00AD3D64" w:rsidRPr="00CB687E">
        <w:t xml:space="preserve">developed a new IT strategy to further secure our IT </w:t>
      </w:r>
      <w:r w:rsidR="00122AE0">
        <w:t>systems</w:t>
      </w:r>
      <w:r w:rsidR="00122AE0" w:rsidRPr="00CB687E">
        <w:t xml:space="preserve"> </w:t>
      </w:r>
      <w:r w:rsidR="00AD3D64" w:rsidRPr="00CB687E">
        <w:t xml:space="preserve">and guide and inform future priorities and investments in the expansion of HRLSC digital service delivery. </w:t>
      </w:r>
      <w:r w:rsidR="002A5EC1" w:rsidRPr="00CB687E">
        <w:t>As part of this strategy, t</w:t>
      </w:r>
      <w:r w:rsidR="00AD3D64" w:rsidRPr="00CB687E">
        <w:t xml:space="preserve">he HRLSC </w:t>
      </w:r>
      <w:r w:rsidR="002A5EC1" w:rsidRPr="00CB687E">
        <w:t>furthermore</w:t>
      </w:r>
      <w:r w:rsidR="001E0518" w:rsidRPr="00CB687E">
        <w:t xml:space="preserve"> completed a review and update of its existing IT policies to include increased security measures and best practices on usage of IT equipment</w:t>
      </w:r>
      <w:r w:rsidR="002A5EC1" w:rsidRPr="00CB687E">
        <w:t xml:space="preserve"> and </w:t>
      </w:r>
      <w:r w:rsidR="00122AE0">
        <w:t>a</w:t>
      </w:r>
      <w:r w:rsidR="00122AE0" w:rsidRPr="00CB687E">
        <w:t xml:space="preserve">rtificial </w:t>
      </w:r>
      <w:r w:rsidR="00122AE0">
        <w:t>i</w:t>
      </w:r>
      <w:r w:rsidR="00122AE0" w:rsidRPr="00CB687E">
        <w:t>ntelligence</w:t>
      </w:r>
      <w:r w:rsidR="001E0518" w:rsidRPr="00CB687E">
        <w:rPr>
          <w:i/>
          <w:iCs/>
        </w:rPr>
        <w:t xml:space="preserve">. </w:t>
      </w:r>
    </w:p>
    <w:p w14:paraId="667A8013" w14:textId="1E3C8AC0" w:rsidR="00B373E0" w:rsidRPr="00CB687E" w:rsidRDefault="00916A09" w:rsidP="002A5EC1">
      <w:r w:rsidRPr="00916A09">
        <w:t xml:space="preserve">In its second year, the HRLSC is launching several initiatives to advance its new </w:t>
      </w:r>
      <w:r w:rsidR="00460B89">
        <w:t>S</w:t>
      </w:r>
      <w:r w:rsidRPr="00916A09">
        <w:t xml:space="preserve">trategic </w:t>
      </w:r>
      <w:r w:rsidR="00460B89">
        <w:t>P</w:t>
      </w:r>
      <w:r w:rsidRPr="00916A09">
        <w:t>lan.</w:t>
      </w:r>
      <w:r w:rsidR="002A5EC1" w:rsidRPr="00CB687E">
        <w:t xml:space="preserve"> Some key highlights include</w:t>
      </w:r>
      <w:r w:rsidR="00DF7658" w:rsidRPr="00CB687E">
        <w:t>:</w:t>
      </w:r>
      <w:r w:rsidR="002A5EC1" w:rsidRPr="00CB687E">
        <w:t xml:space="preserve"> </w:t>
      </w:r>
    </w:p>
    <w:p w14:paraId="36372AE0" w14:textId="77777777" w:rsidR="00C07626" w:rsidRDefault="00C07626" w:rsidP="00B373E0">
      <w:pPr>
        <w:pStyle w:val="ListParagraph"/>
        <w:numPr>
          <w:ilvl w:val="0"/>
          <w:numId w:val="3"/>
        </w:numPr>
        <w:sectPr w:rsidR="00C07626" w:rsidSect="00C029B3">
          <w:type w:val="continuous"/>
          <w:pgSz w:w="12240" w:h="15840"/>
          <w:pgMar w:top="1440" w:right="1440" w:bottom="1440" w:left="1440" w:header="720" w:footer="720" w:gutter="0"/>
          <w:pgNumType w:start="6"/>
          <w:cols w:space="720"/>
          <w:titlePg/>
          <w:docGrid w:linePitch="360"/>
        </w:sectPr>
      </w:pPr>
    </w:p>
    <w:p w14:paraId="07DD0B86" w14:textId="77777777" w:rsidR="00B373E0" w:rsidRPr="00CB687E" w:rsidRDefault="00DF7658" w:rsidP="00B373E0">
      <w:pPr>
        <w:pStyle w:val="ListParagraph"/>
        <w:numPr>
          <w:ilvl w:val="0"/>
          <w:numId w:val="3"/>
        </w:numPr>
      </w:pPr>
      <w:r w:rsidRPr="00CB687E">
        <w:t>expanding our early resolution and mediation service offerings and capacity;</w:t>
      </w:r>
    </w:p>
    <w:p w14:paraId="659A63BD" w14:textId="77777777" w:rsidR="00B373E0" w:rsidRPr="00CB687E" w:rsidRDefault="002A5EC1" w:rsidP="00B373E0">
      <w:pPr>
        <w:pStyle w:val="ListParagraph"/>
        <w:numPr>
          <w:ilvl w:val="0"/>
          <w:numId w:val="3"/>
        </w:numPr>
      </w:pPr>
      <w:r w:rsidRPr="00CB687E">
        <w:t>improving our capacity to collect and use data across the organization</w:t>
      </w:r>
      <w:r w:rsidR="00DB06C7" w:rsidRPr="00CB687E">
        <w:t xml:space="preserve">, </w:t>
      </w:r>
      <w:r w:rsidR="00DB06C7" w:rsidRPr="00CB687E">
        <w:t>including to better target services and outreach</w:t>
      </w:r>
      <w:r w:rsidRPr="00CB687E">
        <w:t xml:space="preserve">; </w:t>
      </w:r>
    </w:p>
    <w:p w14:paraId="345EB200" w14:textId="77777777" w:rsidR="00B373E0" w:rsidRPr="00CB687E" w:rsidRDefault="00DF7658" w:rsidP="00B373E0">
      <w:pPr>
        <w:pStyle w:val="ListParagraph"/>
        <w:numPr>
          <w:ilvl w:val="0"/>
          <w:numId w:val="3"/>
        </w:numPr>
      </w:pPr>
      <w:r w:rsidRPr="00CB687E">
        <w:t xml:space="preserve">modernizing our technological infrastructure to expand </w:t>
      </w:r>
      <w:r w:rsidR="00DB06C7" w:rsidRPr="00CB687E">
        <w:t xml:space="preserve">future </w:t>
      </w:r>
      <w:r w:rsidRPr="00CB687E">
        <w:t xml:space="preserve">digital service delivery; </w:t>
      </w:r>
    </w:p>
    <w:p w14:paraId="2B1134F4" w14:textId="77777777" w:rsidR="00B373E0" w:rsidRPr="00CB687E" w:rsidRDefault="002A5EC1" w:rsidP="00B373E0">
      <w:pPr>
        <w:pStyle w:val="ListParagraph"/>
        <w:numPr>
          <w:ilvl w:val="0"/>
          <w:numId w:val="3"/>
        </w:numPr>
      </w:pPr>
      <w:r w:rsidRPr="00CB687E">
        <w:lastRenderedPageBreak/>
        <w:t xml:space="preserve">growing our communications and public awareness of the Centre’s activities </w:t>
      </w:r>
      <w:r w:rsidR="00DB06C7" w:rsidRPr="00CB687E">
        <w:t>and services</w:t>
      </w:r>
      <w:r w:rsidRPr="00CB687E">
        <w:t xml:space="preserve">; </w:t>
      </w:r>
    </w:p>
    <w:p w14:paraId="35779B26" w14:textId="07E45FD2" w:rsidR="00B373E0" w:rsidRPr="00CB687E" w:rsidRDefault="00DB06C7" w:rsidP="00B373E0">
      <w:pPr>
        <w:pStyle w:val="ListParagraph"/>
        <w:numPr>
          <w:ilvl w:val="0"/>
          <w:numId w:val="3"/>
        </w:numPr>
      </w:pPr>
      <w:r w:rsidRPr="00CB687E">
        <w:t>developing a resource generation strategy and further diversifying and expanding our funding</w:t>
      </w:r>
      <w:r w:rsidR="639E50B0">
        <w:t>;</w:t>
      </w:r>
    </w:p>
    <w:p w14:paraId="203EE72C" w14:textId="0B37E84C" w:rsidR="00B373E0" w:rsidRPr="00CB687E" w:rsidRDefault="639E50B0" w:rsidP="00B373E0">
      <w:pPr>
        <w:pStyle w:val="ListParagraph"/>
        <w:numPr>
          <w:ilvl w:val="0"/>
          <w:numId w:val="3"/>
        </w:numPr>
      </w:pPr>
      <w:r>
        <w:t>continuing to enhance Board governance and risk management, including through Board governance policy development</w:t>
      </w:r>
      <w:r w:rsidR="00B373E0">
        <w:t>.</w:t>
      </w:r>
      <w:r w:rsidR="00DF7658">
        <w:t xml:space="preserve"> </w:t>
      </w:r>
    </w:p>
    <w:p w14:paraId="7D74A4E5" w14:textId="77777777" w:rsidR="00C07626" w:rsidRDefault="00C07626" w:rsidP="00A821A3">
      <w:pPr>
        <w:sectPr w:rsidR="00C07626" w:rsidSect="00C029B3">
          <w:type w:val="continuous"/>
          <w:pgSz w:w="12240" w:h="15840"/>
          <w:pgMar w:top="1440" w:right="1440" w:bottom="1440" w:left="1440" w:header="720" w:footer="720" w:gutter="0"/>
          <w:pgNumType w:start="8"/>
          <w:cols w:num="2" w:space="720"/>
          <w:titlePg/>
          <w:docGrid w:linePitch="360"/>
        </w:sectPr>
      </w:pPr>
    </w:p>
    <w:p w14:paraId="0DBE1101" w14:textId="35F49E58" w:rsidR="00A821A3" w:rsidRPr="00CB687E" w:rsidRDefault="00A821A3" w:rsidP="00DD6D02">
      <w:pPr>
        <w:spacing w:before="240"/>
      </w:pPr>
      <w:r w:rsidRPr="00CB687E">
        <w:t xml:space="preserve">Importantly, in year </w:t>
      </w:r>
      <w:r w:rsidR="00D15852">
        <w:t>two</w:t>
      </w:r>
      <w:r w:rsidR="00D15852" w:rsidRPr="00CB687E">
        <w:t xml:space="preserve"> </w:t>
      </w:r>
      <w:r w:rsidRPr="00CB687E">
        <w:t>of the Strategic Plan, the HRLSC aims to build and improve engagement and consultation with organizations operating in or adjacent to Ontario’s human rights system, including to further develop additional partnerships in support of referrals and outreach to marginalized communities, to advance public accountability and public interest litigation, and for possible future program and funding collaborations.</w:t>
      </w:r>
    </w:p>
    <w:p w14:paraId="49DD3EF7" w14:textId="77777777" w:rsidR="00DD6D02" w:rsidRDefault="00B373E0" w:rsidP="00DD6D02">
      <w:r w:rsidRPr="00CB687E">
        <w:t xml:space="preserve">The HRLSC will also </w:t>
      </w:r>
      <w:r w:rsidR="00A821A3" w:rsidRPr="00CB687E">
        <w:t xml:space="preserve">strive to </w:t>
      </w:r>
      <w:r w:rsidRPr="00CB687E">
        <w:t xml:space="preserve">continue to build </w:t>
      </w:r>
      <w:r w:rsidR="00DF7658" w:rsidRPr="00CB687E">
        <w:t xml:space="preserve">out engagement and consultation with organizations operating in or adjacent to Ontario’s human rights system, including to further </w:t>
      </w:r>
      <w:r w:rsidR="002A5EC1" w:rsidRPr="00CB687E">
        <w:t xml:space="preserve">develop additional partnerships in support of referrals and </w:t>
      </w:r>
      <w:r w:rsidR="00DB06C7" w:rsidRPr="00CB687E">
        <w:t xml:space="preserve">outreach to marginalized communities, to advance public accountability and public interest litigation, and </w:t>
      </w:r>
      <w:r w:rsidR="002A5EC1" w:rsidRPr="00CB687E">
        <w:t xml:space="preserve">for possible </w:t>
      </w:r>
      <w:r w:rsidR="00DF7658" w:rsidRPr="00CB687E">
        <w:t>future program and</w:t>
      </w:r>
      <w:r w:rsidR="002A5EC1" w:rsidRPr="00CB687E">
        <w:t xml:space="preserve"> funding collaboration</w:t>
      </w:r>
      <w:r w:rsidR="00DF7658" w:rsidRPr="00CB687E">
        <w:t>s.</w:t>
      </w:r>
      <w:bookmarkEnd w:id="31"/>
    </w:p>
    <w:p w14:paraId="7D94ADA6" w14:textId="080884D9" w:rsidR="00505F37" w:rsidRPr="00CB687E" w:rsidRDefault="00AF1705" w:rsidP="00B74A3D">
      <w:pPr>
        <w:pStyle w:val="Heading2"/>
      </w:pPr>
      <w:bookmarkStart w:id="32" w:name="_Toc204090257"/>
      <w:r w:rsidRPr="00CB687E">
        <w:t xml:space="preserve">3.2 </w:t>
      </w:r>
      <w:r w:rsidR="00505F37" w:rsidRPr="00CB687E">
        <w:t>Speaking and Outreach Events</w:t>
      </w:r>
      <w:bookmarkEnd w:id="32"/>
    </w:p>
    <w:p w14:paraId="4BD6AC3F" w14:textId="77777777" w:rsidR="00505F37" w:rsidRPr="00CB687E" w:rsidRDefault="00505F37" w:rsidP="00505F37">
      <w:pPr>
        <w:jc w:val="both"/>
      </w:pPr>
      <w:r w:rsidRPr="00CB687E">
        <w:t xml:space="preserve">As part of its mandate to advance equality and protect human rights by providing a range of accessible and high quality legal and support services, the HRLSC provides public legal education, which includes speaking engagements as part of Continuing Professional Development sessions and presenting information about its case-work and other relevant subject matter. Such activities fall under its outreach and engagement work to inform the public about accessing their legal options under the </w:t>
      </w:r>
      <w:r w:rsidRPr="00CB687E">
        <w:rPr>
          <w:i/>
          <w:iCs/>
        </w:rPr>
        <w:t xml:space="preserve">Code </w:t>
      </w:r>
      <w:r w:rsidRPr="00CB687E">
        <w:t>and the HRLSC’s services.</w:t>
      </w:r>
    </w:p>
    <w:p w14:paraId="059AB8F1" w14:textId="2DC2EE6D" w:rsidR="00505F37" w:rsidRPr="00CB687E" w:rsidRDefault="00505F37" w:rsidP="00505F37">
      <w:pPr>
        <w:pStyle w:val="Heading3"/>
        <w:jc w:val="both"/>
      </w:pPr>
      <w:bookmarkStart w:id="33" w:name="_Toc201323031"/>
      <w:bookmarkStart w:id="34" w:name="_Toc201753983"/>
      <w:bookmarkStart w:id="35" w:name="_Toc204090258"/>
      <w:r w:rsidRPr="00CB687E">
        <w:t>2024</w:t>
      </w:r>
      <w:r w:rsidR="009B65A0" w:rsidRPr="009B65A0">
        <w:t>–</w:t>
      </w:r>
      <w:r w:rsidRPr="00CB687E">
        <w:t>2025 Events:</w:t>
      </w:r>
      <w:bookmarkEnd w:id="33"/>
      <w:bookmarkEnd w:id="34"/>
      <w:bookmarkEnd w:id="35"/>
    </w:p>
    <w:p w14:paraId="1BB5B70A" w14:textId="6738CF34" w:rsidR="00505F37" w:rsidRPr="00CB687E" w:rsidRDefault="00505F37" w:rsidP="00505F37">
      <w:pPr>
        <w:pStyle w:val="ListParagraph"/>
        <w:numPr>
          <w:ilvl w:val="0"/>
          <w:numId w:val="4"/>
        </w:numPr>
        <w:jc w:val="both"/>
      </w:pPr>
      <w:r w:rsidRPr="00CB687E">
        <w:t>April 24, 2024 – Presentation for</w:t>
      </w:r>
      <w:r w:rsidR="00AF1705" w:rsidRPr="00CB687E">
        <w:t xml:space="preserve"> Ontario Council of Agencies Serving Immigrants (</w:t>
      </w:r>
      <w:r w:rsidRPr="00CB687E">
        <w:t>OCASI</w:t>
      </w:r>
      <w:r w:rsidR="00AF1705" w:rsidRPr="00CB687E">
        <w:t>)</w:t>
      </w:r>
      <w:r w:rsidRPr="00CB687E">
        <w:t xml:space="preserve"> members on the </w:t>
      </w:r>
      <w:r w:rsidRPr="00CB687E">
        <w:rPr>
          <w:i/>
          <w:iCs/>
        </w:rPr>
        <w:t>Human Rights Code</w:t>
      </w:r>
      <w:r w:rsidRPr="00CB687E">
        <w:t xml:space="preserve"> and Ontario's human rights system (Research Lawyer)</w:t>
      </w:r>
    </w:p>
    <w:p w14:paraId="253BCB08" w14:textId="77777777" w:rsidR="00505F37" w:rsidRPr="00CB687E" w:rsidRDefault="00505F37" w:rsidP="00505F37">
      <w:pPr>
        <w:pStyle w:val="ListParagraph"/>
        <w:numPr>
          <w:ilvl w:val="0"/>
          <w:numId w:val="4"/>
        </w:numPr>
        <w:jc w:val="both"/>
      </w:pPr>
      <w:r w:rsidRPr="00CB687E">
        <w:t>May 9, 2024 – Fourth day of the Osgoode Certificate in Human Rights Theory and Practice covering HRTO remedies (Research Lawyer)</w:t>
      </w:r>
    </w:p>
    <w:p w14:paraId="01E8C7EE" w14:textId="77777777" w:rsidR="00505F37" w:rsidRPr="00CB687E" w:rsidRDefault="00505F37" w:rsidP="00505F37">
      <w:pPr>
        <w:pStyle w:val="ListParagraph"/>
        <w:numPr>
          <w:ilvl w:val="0"/>
          <w:numId w:val="4"/>
        </w:numPr>
        <w:jc w:val="both"/>
      </w:pPr>
      <w:r w:rsidRPr="00CB687E">
        <w:t>May 16 and December 12, 2024 – “Your Human Rights at Work” training for the Lighthouse Project, run by Youth Employment Services (Research Lawyer)</w:t>
      </w:r>
    </w:p>
    <w:p w14:paraId="5A4A96A7" w14:textId="77777777" w:rsidR="00505F37" w:rsidRPr="00CB687E" w:rsidRDefault="00505F37" w:rsidP="00505F37">
      <w:pPr>
        <w:pStyle w:val="ListParagraph"/>
        <w:numPr>
          <w:ilvl w:val="0"/>
          <w:numId w:val="4"/>
        </w:numPr>
        <w:jc w:val="both"/>
      </w:pPr>
      <w:r w:rsidRPr="00CB687E">
        <w:t>May 23, 2024 – Toronto Newcomer Day Information Fair (Communications Coordinator)</w:t>
      </w:r>
    </w:p>
    <w:p w14:paraId="7A82706A" w14:textId="77777777" w:rsidR="00505F37" w:rsidRPr="00CB687E" w:rsidRDefault="00505F37" w:rsidP="00505F37">
      <w:pPr>
        <w:pStyle w:val="ListParagraph"/>
        <w:numPr>
          <w:ilvl w:val="0"/>
          <w:numId w:val="4"/>
        </w:numPr>
        <w:jc w:val="both"/>
      </w:pPr>
      <w:r w:rsidRPr="00CB687E">
        <w:lastRenderedPageBreak/>
        <w:t>May 29, 2024 – Presentations on the topics of citizenship-based discrimination and jurisdiction and choice of legal forum for unionized employees for human rights matters as part of the Ontario Bar Association’s Annual Human Rights Update (Legal Director and Legal Counsel)</w:t>
      </w:r>
    </w:p>
    <w:p w14:paraId="791F8AFD" w14:textId="77777777" w:rsidR="00505F37" w:rsidRPr="00CB687E" w:rsidRDefault="00505F37" w:rsidP="00505F37">
      <w:pPr>
        <w:pStyle w:val="ListParagraph"/>
        <w:numPr>
          <w:ilvl w:val="0"/>
          <w:numId w:val="4"/>
        </w:numPr>
        <w:jc w:val="both"/>
      </w:pPr>
      <w:r w:rsidRPr="00CB687E">
        <w:t xml:space="preserve">August 12, 2024 – Presentation of “Serving Indigenous Communities: HRLSC Indigenous Services, the </w:t>
      </w:r>
      <w:r w:rsidRPr="00CB687E">
        <w:rPr>
          <w:i/>
          <w:iCs/>
        </w:rPr>
        <w:t>Code,</w:t>
      </w:r>
      <w:r w:rsidRPr="00CB687E">
        <w:t xml:space="preserve"> and the HRTO jurisdiction &amp; process” to OFIFC, Odawa and Thunder Bay and Pro Bono staff (Member of ISOC)</w:t>
      </w:r>
    </w:p>
    <w:p w14:paraId="4A240F1C" w14:textId="77777777" w:rsidR="00505F37" w:rsidRPr="00CB687E" w:rsidRDefault="00505F37" w:rsidP="00505F37">
      <w:pPr>
        <w:pStyle w:val="ListParagraph"/>
        <w:numPr>
          <w:ilvl w:val="0"/>
          <w:numId w:val="4"/>
        </w:numPr>
        <w:jc w:val="both"/>
      </w:pPr>
      <w:r w:rsidRPr="00CB687E">
        <w:t>September 20, 2024 – Presentation on Human Rights law Update to Frontenac Law Association (Chair)</w:t>
      </w:r>
    </w:p>
    <w:p w14:paraId="6464811B" w14:textId="3C794036" w:rsidR="00505F37" w:rsidRPr="00CB687E" w:rsidRDefault="00505F37" w:rsidP="00505F37">
      <w:pPr>
        <w:pStyle w:val="ListParagraph"/>
        <w:numPr>
          <w:ilvl w:val="0"/>
          <w:numId w:val="4"/>
        </w:numPr>
        <w:jc w:val="both"/>
      </w:pPr>
      <w:r w:rsidRPr="00CB687E">
        <w:t>October 17, 2024 – C</w:t>
      </w:r>
      <w:r w:rsidR="00B7739B" w:rsidRPr="00CB687E">
        <w:t xml:space="preserve">anadian National Institute for the Blind </w:t>
      </w:r>
      <w:r w:rsidRPr="00CB687E">
        <w:t>Parent and Caregiver Education (Research Lawyer)</w:t>
      </w:r>
    </w:p>
    <w:p w14:paraId="7EB9E423" w14:textId="77777777" w:rsidR="00505F37" w:rsidRPr="00CB687E" w:rsidRDefault="00505F37" w:rsidP="00505F37">
      <w:pPr>
        <w:pStyle w:val="ListParagraph"/>
        <w:numPr>
          <w:ilvl w:val="0"/>
          <w:numId w:val="4"/>
        </w:numPr>
        <w:jc w:val="both"/>
      </w:pPr>
      <w:r w:rsidRPr="00CB687E">
        <w:t>November 5, 2024 – Zonta Club Action to Build a Better World for Women &amp; Girls (Chair)</w:t>
      </w:r>
    </w:p>
    <w:p w14:paraId="3C72122B" w14:textId="7EE6D180" w:rsidR="00505F37" w:rsidRPr="00CB687E" w:rsidRDefault="00226BDB" w:rsidP="00505F37">
      <w:pPr>
        <w:pStyle w:val="ListParagraph"/>
        <w:numPr>
          <w:ilvl w:val="0"/>
          <w:numId w:val="4"/>
        </w:numPr>
        <w:jc w:val="both"/>
      </w:pPr>
      <w:r w:rsidRPr="00CB687E">
        <w:t>December 5</w:t>
      </w:r>
      <w:r w:rsidR="00505F37" w:rsidRPr="00CB687E">
        <w:t xml:space="preserve">, 2024 – </w:t>
      </w:r>
      <w:r w:rsidR="00313D51" w:rsidRPr="00CB687E">
        <w:t>Chaired and delivered presentation for the major case law and Tribunal update at the Law Society of Ontario's 13</w:t>
      </w:r>
      <w:r w:rsidR="00313D51" w:rsidRPr="00CB687E">
        <w:rPr>
          <w:i/>
          <w:iCs/>
        </w:rPr>
        <w:t>th</w:t>
      </w:r>
      <w:r w:rsidR="00313D51" w:rsidRPr="00CB687E">
        <w:t xml:space="preserve"> Human Rights Summit </w:t>
      </w:r>
      <w:r w:rsidR="00505F37" w:rsidRPr="00CB687E">
        <w:t>(</w:t>
      </w:r>
      <w:r w:rsidRPr="00CB687E">
        <w:t>Research Counsel &amp; Legal Counsel</w:t>
      </w:r>
      <w:r w:rsidR="00505F37" w:rsidRPr="00CB687E">
        <w:t>)</w:t>
      </w:r>
    </w:p>
    <w:p w14:paraId="7F2FD468" w14:textId="77777777" w:rsidR="00505F37" w:rsidRPr="00CB687E" w:rsidRDefault="00505F37" w:rsidP="00505F37">
      <w:pPr>
        <w:pStyle w:val="ListParagraph"/>
        <w:numPr>
          <w:ilvl w:val="0"/>
          <w:numId w:val="4"/>
        </w:numPr>
        <w:jc w:val="both"/>
      </w:pPr>
      <w:r w:rsidRPr="00CB687E">
        <w:t>January 23, 2025 – Ontario Bar Association, Litigating a Human Rights File (Research Lawyer)</w:t>
      </w:r>
    </w:p>
    <w:p w14:paraId="68F4A359" w14:textId="65C7A834" w:rsidR="00505F37" w:rsidRPr="00CB687E" w:rsidRDefault="00505F37" w:rsidP="00505F37">
      <w:pPr>
        <w:pStyle w:val="ListParagraph"/>
        <w:numPr>
          <w:ilvl w:val="0"/>
          <w:numId w:val="4"/>
        </w:numPr>
        <w:jc w:val="both"/>
      </w:pPr>
      <w:r w:rsidRPr="00CB687E">
        <w:t>February 8, 2025 –</w:t>
      </w:r>
      <w:r w:rsidR="00313D51" w:rsidRPr="00CB687E">
        <w:t xml:space="preserve"> Panel discussion disability rights as part of Osgoode</w:t>
      </w:r>
      <w:r w:rsidR="00EB4A05" w:rsidRPr="00CB687E">
        <w:t xml:space="preserve"> </w:t>
      </w:r>
      <w:r w:rsidR="00313D51" w:rsidRPr="00CB687E">
        <w:t>Professional Development’s Certificate in Human Rights for Education Professionals (Legal Counsel)</w:t>
      </w:r>
      <w:r w:rsidRPr="00CB687E">
        <w:t xml:space="preserve"> (</w:t>
      </w:r>
      <w:r w:rsidR="00313D51" w:rsidRPr="00CB687E">
        <w:t>Legal Counsel</w:t>
      </w:r>
      <w:r w:rsidRPr="00CB687E">
        <w:t>)</w:t>
      </w:r>
    </w:p>
    <w:p w14:paraId="0C2B7A0E" w14:textId="77777777" w:rsidR="00505F37" w:rsidRPr="00CB687E" w:rsidRDefault="00505F37" w:rsidP="00505F37">
      <w:pPr>
        <w:pStyle w:val="ListParagraph"/>
        <w:numPr>
          <w:ilvl w:val="0"/>
          <w:numId w:val="4"/>
        </w:numPr>
        <w:jc w:val="both"/>
      </w:pPr>
      <w:r w:rsidRPr="00CB687E">
        <w:t>February 24, 2025 – Western University Black History Month (Executive Director)</w:t>
      </w:r>
    </w:p>
    <w:p w14:paraId="7AF63410" w14:textId="77777777" w:rsidR="00505F37" w:rsidRPr="00CB687E" w:rsidRDefault="00505F37" w:rsidP="00505F37">
      <w:pPr>
        <w:pStyle w:val="ListParagraph"/>
        <w:numPr>
          <w:ilvl w:val="0"/>
          <w:numId w:val="4"/>
        </w:numPr>
        <w:jc w:val="both"/>
      </w:pPr>
      <w:r w:rsidRPr="00CB687E">
        <w:t>March 7 – 8, 2025 – Kawaskimhon Moot (Member of ISOC)</w:t>
      </w:r>
    </w:p>
    <w:p w14:paraId="523846DE" w14:textId="0CEEFAF9" w:rsidR="00505F37" w:rsidRPr="00CB687E" w:rsidRDefault="00505F37" w:rsidP="00505F37">
      <w:pPr>
        <w:pStyle w:val="ListParagraph"/>
        <w:numPr>
          <w:ilvl w:val="0"/>
          <w:numId w:val="4"/>
        </w:numPr>
        <w:jc w:val="both"/>
      </w:pPr>
      <w:r w:rsidRPr="00CB687E">
        <w:t xml:space="preserve">March 10 – 11, 2025 – </w:t>
      </w:r>
      <w:r w:rsidR="00B7739B" w:rsidRPr="00CB687E">
        <w:t>Little Native Hocket League (</w:t>
      </w:r>
      <w:r w:rsidRPr="00CB687E">
        <w:t>LNHL</w:t>
      </w:r>
      <w:r w:rsidR="00B7739B" w:rsidRPr="00CB687E">
        <w:t>)</w:t>
      </w:r>
      <w:r w:rsidRPr="00CB687E">
        <w:t xml:space="preserve"> Mobile Legal Clinic (Member of ISOC)</w:t>
      </w:r>
    </w:p>
    <w:p w14:paraId="540392A1" w14:textId="77777777" w:rsidR="00505F37" w:rsidRPr="00CB687E" w:rsidRDefault="00505F37" w:rsidP="00505F37">
      <w:pPr>
        <w:pStyle w:val="Heading2"/>
        <w:jc w:val="both"/>
      </w:pPr>
      <w:bookmarkStart w:id="36" w:name="_Toc201323032"/>
      <w:bookmarkStart w:id="37" w:name="_Toc204090259"/>
      <w:r w:rsidRPr="00CB687E">
        <w:t>3.2 Partnerships</w:t>
      </w:r>
      <w:bookmarkEnd w:id="36"/>
      <w:bookmarkEnd w:id="37"/>
    </w:p>
    <w:p w14:paraId="281D1E7B" w14:textId="77777777" w:rsidR="00505F37" w:rsidRPr="00CB687E" w:rsidRDefault="00505F37" w:rsidP="00505F37">
      <w:pPr>
        <w:pStyle w:val="Heading3"/>
        <w:jc w:val="both"/>
      </w:pPr>
      <w:bookmarkStart w:id="38" w:name="_Toc201323033"/>
      <w:bookmarkStart w:id="39" w:name="_Toc201753985"/>
      <w:bookmarkStart w:id="40" w:name="_Toc204090260"/>
      <w:r w:rsidRPr="00CB687E">
        <w:t>3.2.1 Indigenous Services and Outreach Committee</w:t>
      </w:r>
      <w:bookmarkEnd w:id="38"/>
      <w:bookmarkEnd w:id="39"/>
      <w:bookmarkEnd w:id="40"/>
    </w:p>
    <w:p w14:paraId="00270F0F" w14:textId="77777777" w:rsidR="00505F37" w:rsidRPr="00CB687E" w:rsidRDefault="00505F37" w:rsidP="00505F37">
      <w:pPr>
        <w:jc w:val="both"/>
      </w:pPr>
      <w:r w:rsidRPr="00CB687E">
        <w:t>Several staff at the HRLSC serve as members of the Indigenous Services and Outreach Committee (ISOC). This team supports outreach and engagement to communities across Ontario, as well as providing legal advice and representation to clients identifying as Indigenous (including Métis, Inuit and members of First Nations).</w:t>
      </w:r>
    </w:p>
    <w:p w14:paraId="757952AA" w14:textId="02281110" w:rsidR="00505F37" w:rsidRPr="00CB687E" w:rsidRDefault="00FB3A2F" w:rsidP="00505F37">
      <w:pPr>
        <w:jc w:val="both"/>
      </w:pPr>
      <w:r w:rsidRPr="00CB687E">
        <w:t>202</w:t>
      </w:r>
      <w:r>
        <w:t>4</w:t>
      </w:r>
      <w:r w:rsidR="00DE5A9A" w:rsidRPr="00DE5A9A">
        <w:t>–</w:t>
      </w:r>
      <w:r w:rsidRPr="00CB687E">
        <w:t>20</w:t>
      </w:r>
      <w:r>
        <w:t>25</w:t>
      </w:r>
      <w:r w:rsidRPr="00CB687E">
        <w:t xml:space="preserve"> </w:t>
      </w:r>
      <w:r w:rsidR="00505F37" w:rsidRPr="00CB687E">
        <w:t>Collaborations:</w:t>
      </w:r>
    </w:p>
    <w:p w14:paraId="4A654802" w14:textId="77777777" w:rsidR="00505F37" w:rsidRPr="00CB687E" w:rsidRDefault="00505F37" w:rsidP="00505F37">
      <w:pPr>
        <w:pStyle w:val="ListParagraph"/>
        <w:numPr>
          <w:ilvl w:val="0"/>
          <w:numId w:val="5"/>
        </w:numPr>
        <w:jc w:val="both"/>
      </w:pPr>
      <w:r w:rsidRPr="00CB687E">
        <w:t xml:space="preserve">Indigenous Reconciliation Advisory Group (IRAG): In 2024, ISOC received information on the Ontario Human Rights Commission’s (OHRC) drafting of a statement regarding self-identification and Indigenous identification in hiring, as well as a policy that </w:t>
      </w:r>
      <w:r w:rsidRPr="00CB687E">
        <w:lastRenderedPageBreak/>
        <w:t xml:space="preserve">expands on addressing Indigenous-specific discrimination in the provincial healthcare system. The HRLSC remains an active member of the OHRC’s IRAG which consists of individuals from diverse First Nations, Inuit, Métis, and urban Indigenous communities and organizations from across Ontario. </w:t>
      </w:r>
    </w:p>
    <w:p w14:paraId="2A884D85" w14:textId="79471400" w:rsidR="00505F37" w:rsidRPr="00CB687E" w:rsidRDefault="00505F37" w:rsidP="00505F37">
      <w:pPr>
        <w:pStyle w:val="ListParagraph"/>
        <w:numPr>
          <w:ilvl w:val="0"/>
          <w:numId w:val="5"/>
        </w:numPr>
        <w:jc w:val="both"/>
      </w:pPr>
      <w:r w:rsidRPr="00CB687E">
        <w:t>Indigenous Human Rights Program (IHRP) through Pro Bono Students Canada (PBSC): Following a slowdown in the 2023</w:t>
      </w:r>
      <w:r w:rsidR="00A920F4" w:rsidRPr="00A920F4">
        <w:t>–</w:t>
      </w:r>
      <w:r w:rsidRPr="00CB687E">
        <w:t>2024 fiscal period, the PBSC program restarted in 2024</w:t>
      </w:r>
      <w:r w:rsidR="009B65A0" w:rsidRPr="009B65A0">
        <w:t>–</w:t>
      </w:r>
      <w:r w:rsidRPr="00CB687E">
        <w:t xml:space="preserve">2025, with staff from ISOC stepping back into roles providing training for law students enrolled in the IHRP. Through this training, students led clinics which are housed at the </w:t>
      </w:r>
      <w:r w:rsidR="0030277B">
        <w:t xml:space="preserve">Ontario Federation of </w:t>
      </w:r>
      <w:r w:rsidRPr="00CB687E">
        <w:t>Indigenous Friendship Centres</w:t>
      </w:r>
      <w:r w:rsidR="00900EC7">
        <w:t xml:space="preserve"> (OFIFC)</w:t>
      </w:r>
      <w:r w:rsidRPr="00CB687E">
        <w:t xml:space="preserve"> in Ottawa and Thunder Bay. ISOC provides the jurisdiction training as part of the student onboarding for the program.</w:t>
      </w:r>
    </w:p>
    <w:p w14:paraId="4A12A428" w14:textId="77777777" w:rsidR="00505F37" w:rsidRPr="00CB687E" w:rsidRDefault="00505F37" w:rsidP="00505F37">
      <w:pPr>
        <w:pStyle w:val="ListParagraph"/>
        <w:numPr>
          <w:ilvl w:val="0"/>
          <w:numId w:val="5"/>
        </w:numPr>
        <w:jc w:val="both"/>
      </w:pPr>
      <w:r w:rsidRPr="00CB687E">
        <w:t xml:space="preserve">Indigenous Human Rights Podcast: Members of ISOC participated in a podcast episode discussing the successful case of </w:t>
      </w:r>
      <w:r w:rsidRPr="00CB687E">
        <w:rPr>
          <w:i/>
          <w:iCs/>
        </w:rPr>
        <w:t>Nakogee v. The Corporation of the City of North Bay o/a North Bay Transit</w:t>
      </w:r>
      <w:r w:rsidRPr="00CB687E">
        <w:t>.</w:t>
      </w:r>
    </w:p>
    <w:p w14:paraId="48307F41" w14:textId="554ABDF4" w:rsidR="00505F37" w:rsidRPr="00CB687E" w:rsidRDefault="00505F37" w:rsidP="00505F37">
      <w:pPr>
        <w:pStyle w:val="ListParagraph"/>
        <w:numPr>
          <w:ilvl w:val="0"/>
          <w:numId w:val="5"/>
        </w:numPr>
        <w:jc w:val="both"/>
      </w:pPr>
      <w:r w:rsidRPr="00CB687E">
        <w:t>Strategic Plan Indigenous Community Working Group (ICWG): As part of the HRLSC’s new Strategic Plan, ISOC struck a new Indigenous Community Working Group to collaborate with Indigenous communities. The aim is to strengthen our outreach, services and supports to Indigenous communities as part of the HRLSC’s Strategic Priority to provide leadership in Ontario’s human rights system. In the 2024</w:t>
      </w:r>
      <w:r w:rsidR="009B65A0" w:rsidRPr="009B65A0">
        <w:t>–</w:t>
      </w:r>
      <w:r w:rsidRPr="00CB687E">
        <w:t>2025 fiscal year, the ICWG began drafting a historical account of HRLSC’s Reconciliation Journey to be posted and showcased on the ISOC web page on the Centre’s website.</w:t>
      </w:r>
    </w:p>
    <w:p w14:paraId="078EA999" w14:textId="77777777" w:rsidR="00505F37" w:rsidRPr="00CB687E" w:rsidRDefault="00505F37" w:rsidP="00505F37">
      <w:pPr>
        <w:pStyle w:val="ListParagraph"/>
        <w:numPr>
          <w:ilvl w:val="0"/>
          <w:numId w:val="5"/>
        </w:numPr>
        <w:jc w:val="both"/>
      </w:pPr>
      <w:r w:rsidRPr="00CB687E">
        <w:t>Disability Justice Network of Ontario (DJNO): ISOC continues to work with the DJNO to receive referrals from its Prison Project. This project aims to support self-advocacy for Indigenous and racialized individuals with disabilities who are incarcerated in correctional facilities.</w:t>
      </w:r>
    </w:p>
    <w:p w14:paraId="070D02EA" w14:textId="77777777" w:rsidR="00505F37" w:rsidRPr="00CB687E" w:rsidRDefault="00505F37" w:rsidP="00505F37">
      <w:pPr>
        <w:pStyle w:val="ListParagraph"/>
        <w:numPr>
          <w:ilvl w:val="0"/>
          <w:numId w:val="5"/>
        </w:numPr>
        <w:jc w:val="both"/>
      </w:pPr>
      <w:r w:rsidRPr="00CB687E">
        <w:t xml:space="preserve">Patient Ombudsman: The Patient Ombudsman’s role is to help resolve complaints from patients, residents and caregivers about experiences in Ontario’s health care system. ISOC staff delivered presentations to the Patient Ombudsman on providing client referrals to the HRLSC. </w:t>
      </w:r>
    </w:p>
    <w:p w14:paraId="1935848E" w14:textId="77777777" w:rsidR="00505F37" w:rsidRPr="00CB687E" w:rsidRDefault="00505F37" w:rsidP="00505F37">
      <w:pPr>
        <w:pStyle w:val="ListParagraph"/>
        <w:numPr>
          <w:ilvl w:val="0"/>
          <w:numId w:val="5"/>
        </w:numPr>
        <w:jc w:val="both"/>
      </w:pPr>
      <w:r w:rsidRPr="00CB687E">
        <w:t>Tribunals Ontario – Indigenous Services: ISOC continued to invite Tribunal’s Ontario’s Indigenous Services representative to some of its yearly meetings.</w:t>
      </w:r>
    </w:p>
    <w:p w14:paraId="352B023F" w14:textId="77777777" w:rsidR="00505F37" w:rsidRDefault="00505F37" w:rsidP="00505F37">
      <w:pPr>
        <w:pStyle w:val="ListParagraph"/>
        <w:numPr>
          <w:ilvl w:val="0"/>
          <w:numId w:val="5"/>
        </w:numPr>
        <w:jc w:val="both"/>
      </w:pPr>
      <w:r w:rsidRPr="00CB687E">
        <w:t>Chiefs of Ontario: Chiefs of Ontario is a representative and advocacy body for 133 First Nation communities across the province. ISOC continued to provide information about its services.</w:t>
      </w:r>
    </w:p>
    <w:p w14:paraId="4E01E960" w14:textId="77777777" w:rsidR="00505F37" w:rsidRPr="00CB687E" w:rsidRDefault="00505F37" w:rsidP="00505F37">
      <w:pPr>
        <w:pStyle w:val="Heading3"/>
        <w:jc w:val="both"/>
      </w:pPr>
      <w:bookmarkStart w:id="41" w:name="_Toc201323034"/>
      <w:bookmarkStart w:id="42" w:name="_Toc201753986"/>
      <w:bookmarkStart w:id="43" w:name="_Toc204090261"/>
      <w:r w:rsidRPr="00CB687E">
        <w:lastRenderedPageBreak/>
        <w:t>3.2.2 Ontario Human Rights Commission – Community Advisory Group</w:t>
      </w:r>
      <w:bookmarkEnd w:id="41"/>
      <w:bookmarkEnd w:id="42"/>
      <w:bookmarkEnd w:id="43"/>
    </w:p>
    <w:p w14:paraId="3A62F472" w14:textId="77777777" w:rsidR="00505F37" w:rsidRPr="00CB687E" w:rsidRDefault="00505F37" w:rsidP="00505F37">
      <w:pPr>
        <w:jc w:val="both"/>
      </w:pPr>
      <w:r w:rsidRPr="00CB687E">
        <w:t xml:space="preserve">The OHRC’s Community Advisory Group (CAG) represents diverse constituencies including community service providers, representatives of First Nations, Métis, and Inuit communities, individuals with lived experiences relating to discrimination prohibited under the </w:t>
      </w:r>
      <w:r w:rsidRPr="00CB687E">
        <w:rPr>
          <w:i/>
          <w:iCs/>
        </w:rPr>
        <w:t>Code</w:t>
      </w:r>
      <w:r w:rsidRPr="00CB687E">
        <w:t>, social justice organizations in Ontario, and the Canadian Human Rights Commission and provides advice relating to the OHRC’s strategic priorities. The HRLSC remains a valued member of the CAG.</w:t>
      </w:r>
    </w:p>
    <w:p w14:paraId="01489AD3" w14:textId="77777777" w:rsidR="00505F37" w:rsidRPr="00CB687E" w:rsidRDefault="00505F37" w:rsidP="00505F37">
      <w:pPr>
        <w:pStyle w:val="Heading3"/>
        <w:jc w:val="both"/>
      </w:pPr>
      <w:bookmarkStart w:id="44" w:name="_Toc201323035"/>
      <w:bookmarkStart w:id="45" w:name="_Toc201753987"/>
      <w:bookmarkStart w:id="46" w:name="_Toc204090262"/>
      <w:r w:rsidRPr="00CB687E">
        <w:t>3.2.3 Anti-Discrimination Intensive Program</w:t>
      </w:r>
      <w:bookmarkEnd w:id="44"/>
      <w:bookmarkEnd w:id="45"/>
      <w:bookmarkEnd w:id="46"/>
    </w:p>
    <w:p w14:paraId="59684939" w14:textId="787D08DE" w:rsidR="00505F37" w:rsidRPr="00CB687E" w:rsidRDefault="00505F37" w:rsidP="00505F37">
      <w:pPr>
        <w:jc w:val="both"/>
      </w:pPr>
      <w:r w:rsidRPr="00CB687E">
        <w:t xml:space="preserve">The Anti-Discrimination Intensive Program (ADIP) is a collaborative project between the HRLSC and Osgoode Hall Law School at York University. </w:t>
      </w:r>
      <w:r w:rsidR="004A1EC0">
        <w:t>Entering</w:t>
      </w:r>
      <w:r w:rsidRPr="00CB687E">
        <w:t xml:space="preserve"> its </w:t>
      </w:r>
      <w:r w:rsidR="003F532D">
        <w:t>1</w:t>
      </w:r>
      <w:r w:rsidR="004A1EC0">
        <w:t>4</w:t>
      </w:r>
      <w:r w:rsidR="003F532D" w:rsidRPr="00CB687E">
        <w:t xml:space="preserve">th </w:t>
      </w:r>
      <w:r w:rsidRPr="00CB687E">
        <w:t>year</w:t>
      </w:r>
      <w:r w:rsidR="004A1EC0">
        <w:t xml:space="preserve"> of operations</w:t>
      </w:r>
      <w:r w:rsidR="00B7739B" w:rsidRPr="00CB687E">
        <w:t>,</w:t>
      </w:r>
      <w:r w:rsidR="004A1EC0">
        <w:t xml:space="preserve"> this</w:t>
      </w:r>
      <w:r w:rsidR="008660E5">
        <w:t xml:space="preserve"> </w:t>
      </w:r>
      <w:r w:rsidR="000E5230">
        <w:t xml:space="preserve">highly </w:t>
      </w:r>
      <w:r w:rsidR="008660E5">
        <w:t>valued</w:t>
      </w:r>
      <w:r w:rsidR="004A1EC0">
        <w:t xml:space="preserve"> </w:t>
      </w:r>
      <w:r w:rsidR="0065416A">
        <w:t>program</w:t>
      </w:r>
      <w:r w:rsidRPr="00CB687E">
        <w:t xml:space="preserve"> offers 12 full-time placements at the HRLSC to first, second and third-year law students. ADIP offers students the opportunity to develop specialized knowledge of anti-discrimination law and to see an administrative law process from beginning to end. Students receive mentorship from </w:t>
      </w:r>
      <w:r w:rsidR="000E5230">
        <w:t xml:space="preserve">the </w:t>
      </w:r>
      <w:r w:rsidRPr="00CB687E">
        <w:t>HRLSC</w:t>
      </w:r>
      <w:r w:rsidR="000E5230">
        <w:t>’s</w:t>
      </w:r>
      <w:r w:rsidRPr="00CB687E">
        <w:t xml:space="preserve"> counsel and assist with the HRLSC’s intake phone lines. </w:t>
      </w:r>
    </w:p>
    <w:p w14:paraId="10CDEEDF" w14:textId="5DB95020" w:rsidR="00505F37" w:rsidRPr="00CB687E" w:rsidRDefault="00505F37" w:rsidP="00505F37">
      <w:pPr>
        <w:jc w:val="both"/>
      </w:pPr>
      <w:r w:rsidRPr="00CB687E">
        <w:t xml:space="preserve">The HRLSC is proud to announce that, through LFO funding, we are expanding our partnership with Osgoode Hall Law School with the creation of a new pilot project named Mediation, Early Resolution &amp; Experiential Learning Training (MEET). MEET will provide </w:t>
      </w:r>
      <w:r w:rsidR="00B7739B" w:rsidRPr="00CB687E">
        <w:t xml:space="preserve">an additional </w:t>
      </w:r>
      <w:r w:rsidRPr="00CB687E">
        <w:t>12 law students with an opportunity to train in the areas of early dispute resolution and mediation legal services over the next two years.</w:t>
      </w:r>
    </w:p>
    <w:p w14:paraId="475193D0" w14:textId="77777777" w:rsidR="00505F37" w:rsidRPr="00CB687E" w:rsidRDefault="00505F37" w:rsidP="00505F37">
      <w:pPr>
        <w:pStyle w:val="Heading3"/>
        <w:jc w:val="both"/>
      </w:pPr>
      <w:bookmarkStart w:id="47" w:name="_Toc201323036"/>
      <w:bookmarkStart w:id="48" w:name="_Toc201753988"/>
      <w:bookmarkStart w:id="49" w:name="_Toc204090263"/>
      <w:r w:rsidRPr="00CB687E">
        <w:t>3.2.4 Windsor University Student Placement</w:t>
      </w:r>
      <w:bookmarkEnd w:id="47"/>
      <w:bookmarkEnd w:id="48"/>
      <w:bookmarkEnd w:id="49"/>
    </w:p>
    <w:p w14:paraId="1FA07240" w14:textId="6F2CD4A8" w:rsidR="00505F37" w:rsidRPr="00CB687E" w:rsidRDefault="00505F37" w:rsidP="00505F37">
      <w:pPr>
        <w:jc w:val="both"/>
      </w:pPr>
      <w:r w:rsidRPr="00CB687E">
        <w:t>The Windsor Law Social Justice Fellowship Program supports students interested in obtaining exposure to social justice advocacy and to enhance the capacity of future social justice lawyers to work towards the protection of human rights and the pursuit of social justice goals. During the 2024</w:t>
      </w:r>
      <w:r w:rsidR="009B65A0" w:rsidRPr="009B65A0">
        <w:t>–</w:t>
      </w:r>
      <w:r w:rsidRPr="00CB687E">
        <w:t>2025 fiscal year, the HRLSC hosted a student placement from this program, with the student supporting the HRLSC’s intake services as well as research and outreach.</w:t>
      </w:r>
    </w:p>
    <w:p w14:paraId="694BB300" w14:textId="77777777" w:rsidR="00505F37" w:rsidRPr="00CB687E" w:rsidRDefault="00505F37" w:rsidP="00505F37">
      <w:pPr>
        <w:pStyle w:val="Heading3"/>
        <w:jc w:val="both"/>
      </w:pPr>
      <w:bookmarkStart w:id="50" w:name="_Toc204090264"/>
      <w:r w:rsidRPr="00CB687E">
        <w:t>3.2.5 Western Ontario Summer Student Placement</w:t>
      </w:r>
      <w:bookmarkEnd w:id="50"/>
    </w:p>
    <w:p w14:paraId="7725416D" w14:textId="1AC9F55D" w:rsidR="00505F37" w:rsidRPr="00CB687E" w:rsidRDefault="00505F37" w:rsidP="00505F37">
      <w:pPr>
        <w:jc w:val="both"/>
      </w:pPr>
      <w:r w:rsidRPr="00CB687E">
        <w:t xml:space="preserve">The HRLSC hosted a </w:t>
      </w:r>
      <w:r w:rsidR="00CE628C" w:rsidRPr="00CB687E">
        <w:t xml:space="preserve">first-year </w:t>
      </w:r>
      <w:r w:rsidRPr="00CB687E">
        <w:t xml:space="preserve">Western Law </w:t>
      </w:r>
      <w:r w:rsidR="00CE628C" w:rsidRPr="00CB687E">
        <w:t xml:space="preserve">student this past year as part of Western University’s inaugural </w:t>
      </w:r>
      <w:r w:rsidRPr="00CB687E">
        <w:t xml:space="preserve">“Summer After 1L” </w:t>
      </w:r>
      <w:r w:rsidR="00CE628C" w:rsidRPr="00CB687E">
        <w:t>summer placement program</w:t>
      </w:r>
      <w:r w:rsidRPr="00CB687E">
        <w:t>.</w:t>
      </w:r>
      <w:r w:rsidR="00CE628C" w:rsidRPr="00CB687E">
        <w:t xml:space="preserve"> The student conducted research on the Ontario legislature’s intended goals for </w:t>
      </w:r>
      <w:r w:rsidR="00873FFC">
        <w:t xml:space="preserve">the </w:t>
      </w:r>
      <w:r w:rsidR="00CE628C" w:rsidRPr="00CB687E">
        <w:t xml:space="preserve">HRLSC at its inception, including its statutory mandate and services, as discussed in the Hansard </w:t>
      </w:r>
      <w:r w:rsidR="00CE628C" w:rsidRPr="00CB687E">
        <w:lastRenderedPageBreak/>
        <w:t xml:space="preserve">Records during Bill 107 (the </w:t>
      </w:r>
      <w:r w:rsidR="00CE628C" w:rsidRPr="00B74A3D">
        <w:rPr>
          <w:i/>
          <w:iCs/>
        </w:rPr>
        <w:t>Human Rights Code Amendment Act</w:t>
      </w:r>
      <w:r w:rsidR="00CE628C" w:rsidRPr="00CB687E">
        <w:t>, 2006), which brought the HRLSC into existence. The student furthermore reviewed, consolidated and expanded HRLSC’s community contact database for future outreach purposes, and supported HRLS</w:t>
      </w:r>
      <w:r w:rsidR="00A25AA1" w:rsidRPr="00CB687E">
        <w:t>C</w:t>
      </w:r>
      <w:r w:rsidR="00CE628C" w:rsidRPr="00CB687E">
        <w:t xml:space="preserve"> intake services. </w:t>
      </w:r>
    </w:p>
    <w:p w14:paraId="6B4BDE91" w14:textId="77777777" w:rsidR="00505F37" w:rsidRPr="00CB687E" w:rsidRDefault="00505F37" w:rsidP="00505F37">
      <w:pPr>
        <w:pStyle w:val="Heading3"/>
        <w:jc w:val="both"/>
      </w:pPr>
      <w:bookmarkStart w:id="51" w:name="_Toc201323037"/>
      <w:bookmarkStart w:id="52" w:name="_Toc201753989"/>
      <w:bookmarkStart w:id="53" w:name="_Toc204090265"/>
      <w:r w:rsidRPr="00CB687E">
        <w:t>3.2.6 Barbra Schlifer Commemorative Clinic</w:t>
      </w:r>
      <w:bookmarkEnd w:id="51"/>
      <w:bookmarkEnd w:id="52"/>
      <w:bookmarkEnd w:id="53"/>
    </w:p>
    <w:p w14:paraId="58A65723" w14:textId="09C870B0" w:rsidR="00505F37" w:rsidRPr="00CB687E" w:rsidRDefault="00505F37" w:rsidP="00505F37">
      <w:pPr>
        <w:jc w:val="both"/>
      </w:pPr>
      <w:r>
        <w:t>The Barbra Schlifer Commemorative Clinic (BSCC) provides trauma-informed legal services, counselling, multi-lingual interpretation and drives system change to support women and gender-diverse clients who have experienced violence.</w:t>
      </w:r>
    </w:p>
    <w:p w14:paraId="0069BA4D" w14:textId="713B3185" w:rsidR="00505F37" w:rsidRPr="00CB687E" w:rsidRDefault="00505F37" w:rsidP="00505F37">
      <w:pPr>
        <w:jc w:val="both"/>
      </w:pPr>
      <w:r w:rsidRPr="00CB687E">
        <w:t>The HRLSC and the BSCC continued co-referrals in 2024</w:t>
      </w:r>
      <w:r w:rsidR="009B65A0" w:rsidRPr="009B65A0">
        <w:t>–</w:t>
      </w:r>
      <w:r w:rsidRPr="00CB687E">
        <w:t>2025, with the HRLSC referring clients to the BSCC for services including family and immigration legal advice and representation, support through the family court process, and counselling services. The BSCC referred clients with human rights complaints to the HRLSC, especially related to sex and gender-based discrimination. These mutual referrals reduced client intake time and made it easier for staff to assist clients with their legal options and provide resources for related wellbeing or social support needs. The HRLSC continued to receive referrals roughly once every two</w:t>
      </w:r>
      <w:r w:rsidR="00B85075">
        <w:t xml:space="preserve"> </w:t>
      </w:r>
      <w:r w:rsidRPr="00CB687E">
        <w:t>to</w:t>
      </w:r>
      <w:r w:rsidR="00B85075">
        <w:t xml:space="preserve"> </w:t>
      </w:r>
      <w:r w:rsidRPr="00CB687E">
        <w:t>three months from the BSCC in the 2024</w:t>
      </w:r>
      <w:r w:rsidR="009B65A0" w:rsidRPr="009B65A0">
        <w:t>–</w:t>
      </w:r>
      <w:r w:rsidRPr="00CB687E">
        <w:t>2025 fiscal year.</w:t>
      </w:r>
    </w:p>
    <w:p w14:paraId="731CD49E" w14:textId="77777777" w:rsidR="00505F37" w:rsidRPr="00CB687E" w:rsidRDefault="00505F37" w:rsidP="00505F37">
      <w:pPr>
        <w:pStyle w:val="Heading3"/>
        <w:jc w:val="both"/>
      </w:pPr>
      <w:bookmarkStart w:id="54" w:name="_Toc201323038"/>
      <w:bookmarkStart w:id="55" w:name="_Toc201753990"/>
      <w:bookmarkStart w:id="56" w:name="_Toc204090266"/>
      <w:r w:rsidRPr="00CB687E">
        <w:t>3.2.7 Law Foundation Ontario, Community Legal Education Ontario and Osgoode Hall</w:t>
      </w:r>
      <w:bookmarkEnd w:id="54"/>
      <w:bookmarkEnd w:id="55"/>
      <w:bookmarkEnd w:id="56"/>
    </w:p>
    <w:p w14:paraId="34159787" w14:textId="4D1FE9D8" w:rsidR="00505F37" w:rsidRPr="00CB687E" w:rsidRDefault="00505F37" w:rsidP="00505F37">
      <w:pPr>
        <w:jc w:val="both"/>
      </w:pPr>
      <w:r w:rsidRPr="00CB687E">
        <w:t>The</w:t>
      </w:r>
      <w:r w:rsidRPr="00CB687E">
        <w:rPr>
          <w:rFonts w:ascii="Arial" w:hAnsi="Arial" w:cs="Arial"/>
        </w:rPr>
        <w:t> </w:t>
      </w:r>
      <w:r w:rsidR="00C86461">
        <w:t>LFO</w:t>
      </w:r>
      <w:r w:rsidRPr="00CB687E">
        <w:rPr>
          <w:rFonts w:ascii="Arial" w:hAnsi="Arial" w:cs="Arial"/>
        </w:rPr>
        <w:t> </w:t>
      </w:r>
      <w:r w:rsidRPr="00CB687E">
        <w:t>has a unique mandate to improve access to justice for the people of Ontario and has funded human rights training initiatives to assist community service providers in identifying discrimination claims.</w:t>
      </w:r>
    </w:p>
    <w:p w14:paraId="3B62EE16" w14:textId="77777777" w:rsidR="00505F37" w:rsidRPr="00CB687E" w:rsidRDefault="00505F37" w:rsidP="00505F37">
      <w:pPr>
        <w:jc w:val="both"/>
      </w:pPr>
      <w:r w:rsidRPr="00CB687E">
        <w:t>Recently, the HRLSC successfully secured LFO funding to support a new Mediation, Early Resolution &amp; Experiential Education Training (MEET) Pilot Project, a Guided Pathway online tool, and the hiring of a Legal Services Representative staff to support mediation and early resolutions.</w:t>
      </w:r>
    </w:p>
    <w:p w14:paraId="5D5485E0" w14:textId="480CDDCA" w:rsidR="00505F37" w:rsidRPr="00CB687E" w:rsidRDefault="00505F37" w:rsidP="00505F37">
      <w:pPr>
        <w:jc w:val="both"/>
      </w:pPr>
      <w:r>
        <w:t xml:space="preserve">As part of this funding, the HRLSC partnered with </w:t>
      </w:r>
      <w:hyperlink r:id="rId21">
        <w:r w:rsidRPr="4897519F">
          <w:rPr>
            <w:rStyle w:val="Hyperlink"/>
          </w:rPr>
          <w:t>Community Legal Education Ontario</w:t>
        </w:r>
      </w:hyperlink>
      <w:r>
        <w:t xml:space="preserve"> (CLEO) and Osgoode Hall Law School at York University.</w:t>
      </w:r>
    </w:p>
    <w:p w14:paraId="0EA0D1F2" w14:textId="77777777" w:rsidR="00505F37" w:rsidRPr="00CB687E" w:rsidRDefault="00505F37" w:rsidP="00505F37">
      <w:pPr>
        <w:jc w:val="both"/>
      </w:pPr>
      <w:r w:rsidRPr="00CB687E">
        <w:t>Osgoode Hall Law School, which partners with the HRLSC on the aforementioned Anti-Discrimination Harassment Program (ADIP) will provide 12 students to work as part of the Mediation Services Pilot Project. These students will support mediations and early resolutions at the HRTO, as well as earning valuable experiential learning in this area of law and practice.</w:t>
      </w:r>
    </w:p>
    <w:p w14:paraId="68C9E359" w14:textId="1EE7F38C" w:rsidR="008A37CC" w:rsidRDefault="00505F37" w:rsidP="00505F37">
      <w:pPr>
        <w:jc w:val="both"/>
      </w:pPr>
      <w:r w:rsidRPr="00CB687E">
        <w:lastRenderedPageBreak/>
        <w:t xml:space="preserve">CLEO will collaborate with the HRLSC on the launch of a new self-administered online “Guided Pathway” tool. This tool will help Ontarians directly complete and file applications at the Human Rights Tribunal of Ontario. </w:t>
      </w:r>
    </w:p>
    <w:p w14:paraId="375549D2" w14:textId="5735F75E" w:rsidR="006A7AF3" w:rsidRDefault="006A7AF3"/>
    <w:p w14:paraId="43770A64" w14:textId="05CAE281" w:rsidR="008A37CC" w:rsidRDefault="007C5C68">
      <w:r>
        <w:rPr>
          <w:noProof/>
        </w:rPr>
        <mc:AlternateContent>
          <mc:Choice Requires="wps">
            <w:drawing>
              <wp:anchor distT="91440" distB="91440" distL="114300" distR="114300" simplePos="0" relativeHeight="251643908" behindDoc="0" locked="0" layoutInCell="1" allowOverlap="1" wp14:anchorId="2202AAFB" wp14:editId="10B75459">
                <wp:simplePos x="0" y="0"/>
                <wp:positionH relativeFrom="margin">
                  <wp:posOffset>9525</wp:posOffset>
                </wp:positionH>
                <wp:positionV relativeFrom="margin">
                  <wp:posOffset>1895475</wp:posOffset>
                </wp:positionV>
                <wp:extent cx="6000750"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3985"/>
                        </a:xfrm>
                        <a:prstGeom prst="rect">
                          <a:avLst/>
                        </a:prstGeom>
                        <a:noFill/>
                        <a:ln w="9525">
                          <a:noFill/>
                          <a:miter lim="800000"/>
                          <a:headEnd/>
                          <a:tailEnd/>
                        </a:ln>
                      </wps:spPr>
                      <wps:txbx>
                        <w:txbxContent>
                          <w:p w14:paraId="5DFDD747" w14:textId="62ABEDE2" w:rsidR="006A7AF3" w:rsidRPr="00872957" w:rsidRDefault="00F60A35" w:rsidP="006A7AF3">
                            <w:pPr>
                              <w:pBdr>
                                <w:top w:val="single" w:sz="24" w:space="8" w:color="156082" w:themeColor="accent1"/>
                                <w:bottom w:val="single" w:sz="24" w:space="8" w:color="156082" w:themeColor="accent1"/>
                              </w:pBdr>
                              <w:spacing w:after="0"/>
                              <w:rPr>
                                <w:i/>
                                <w:iCs/>
                                <w:color w:val="156082" w:themeColor="accent1"/>
                                <w:sz w:val="32"/>
                                <w:szCs w:val="32"/>
                              </w:rPr>
                            </w:pPr>
                            <w:r>
                              <w:rPr>
                                <w:i/>
                                <w:iCs/>
                                <w:color w:val="156082" w:themeColor="accent1"/>
                                <w:sz w:val="32"/>
                                <w:szCs w:val="32"/>
                              </w:rPr>
                              <w:t>’’</w:t>
                            </w:r>
                            <w:r w:rsidR="006A7AF3" w:rsidRPr="00872957">
                              <w:rPr>
                                <w:i/>
                                <w:iCs/>
                                <w:color w:val="156082" w:themeColor="accent1"/>
                                <w:sz w:val="32"/>
                                <w:szCs w:val="32"/>
                              </w:rPr>
                              <w:t xml:space="preserve">I am writing to express my deepest and most sincere gratitude for the excellent work your team at Human Rights Legal Support did on my case. </w:t>
                            </w:r>
                          </w:p>
                          <w:p w14:paraId="6E389E66" w14:textId="77777777" w:rsidR="006A7AF3" w:rsidRPr="00872957" w:rsidRDefault="006A7AF3" w:rsidP="006A7AF3">
                            <w:pPr>
                              <w:pBdr>
                                <w:top w:val="single" w:sz="24" w:space="8" w:color="156082" w:themeColor="accent1"/>
                                <w:bottom w:val="single" w:sz="24" w:space="8" w:color="156082" w:themeColor="accent1"/>
                              </w:pBdr>
                              <w:spacing w:after="0"/>
                              <w:rPr>
                                <w:i/>
                                <w:iCs/>
                                <w:color w:val="156082" w:themeColor="accent1"/>
                                <w:sz w:val="32"/>
                                <w:szCs w:val="32"/>
                              </w:rPr>
                            </w:pPr>
                          </w:p>
                          <w:p w14:paraId="0D21A692" w14:textId="56EA1A89" w:rsidR="006A7AF3" w:rsidRPr="00872957" w:rsidRDefault="006A7AF3" w:rsidP="006A7AF3">
                            <w:pPr>
                              <w:pBdr>
                                <w:top w:val="single" w:sz="24" w:space="8" w:color="156082" w:themeColor="accent1"/>
                                <w:bottom w:val="single" w:sz="24" w:space="8" w:color="156082" w:themeColor="accent1"/>
                              </w:pBdr>
                              <w:spacing w:after="0"/>
                              <w:rPr>
                                <w:i/>
                                <w:iCs/>
                                <w:color w:val="156082" w:themeColor="accent1"/>
                                <w:sz w:val="32"/>
                                <w:szCs w:val="32"/>
                                <w:lang w:val="en-US"/>
                              </w:rPr>
                            </w:pPr>
                            <w:r w:rsidRPr="00872957">
                              <w:rPr>
                                <w:i/>
                                <w:iCs/>
                                <w:color w:val="156082" w:themeColor="accent1"/>
                                <w:sz w:val="32"/>
                                <w:szCs w:val="32"/>
                              </w:rPr>
                              <w:t>Your dedication, expertise, and unwavering commitment to justice have profoundly restored my faith in the legal system and the power of human rights advocacy.</w:t>
                            </w:r>
                            <w:r w:rsidR="00872957" w:rsidRPr="00872957">
                              <w:rPr>
                                <w:i/>
                                <w:iCs/>
                                <w:color w:val="156082" w:themeColor="accent1"/>
                                <w:sz w:val="32"/>
                                <w:szCs w:val="32"/>
                              </w:rPr>
                              <w:t>”</w:t>
                            </w:r>
                          </w:p>
                          <w:p w14:paraId="5EFFD7B9" w14:textId="77777777" w:rsidR="006A7AF3" w:rsidRPr="00872957" w:rsidRDefault="006A7AF3" w:rsidP="006A7AF3">
                            <w:pPr>
                              <w:pBdr>
                                <w:top w:val="single" w:sz="24" w:space="8" w:color="156082" w:themeColor="accent1"/>
                                <w:bottom w:val="single" w:sz="24" w:space="8" w:color="156082" w:themeColor="accent1"/>
                              </w:pBdr>
                              <w:spacing w:after="0"/>
                              <w:rPr>
                                <w:i/>
                                <w:iCs/>
                                <w:color w:val="156082" w:themeColor="accent1"/>
                                <w:sz w:val="32"/>
                                <w:szCs w:val="32"/>
                                <w:lang w:val="en-US"/>
                              </w:rPr>
                            </w:pPr>
                          </w:p>
                          <w:p w14:paraId="1803C640" w14:textId="1855B5CE" w:rsidR="006A7AF3" w:rsidRPr="00872957" w:rsidRDefault="00872957" w:rsidP="006A7AF3">
                            <w:pPr>
                              <w:pBdr>
                                <w:top w:val="single" w:sz="24" w:space="8" w:color="156082" w:themeColor="accent1"/>
                                <w:bottom w:val="single" w:sz="24" w:space="8" w:color="156082" w:themeColor="accent1"/>
                              </w:pBdr>
                              <w:spacing w:after="0"/>
                              <w:rPr>
                                <w:i/>
                                <w:iCs/>
                                <w:color w:val="156082" w:themeColor="accent1"/>
                                <w:sz w:val="32"/>
                                <w:szCs w:val="32"/>
                                <w:lang w:val="en-US"/>
                              </w:rPr>
                            </w:pPr>
                            <w:r w:rsidRPr="00872957">
                              <w:rPr>
                                <w:i/>
                                <w:iCs/>
                                <w:color w:val="156082" w:themeColor="accent1"/>
                                <w:sz w:val="32"/>
                                <w:szCs w:val="32"/>
                                <w:lang w:val="en-US"/>
                              </w:rPr>
                              <w:t>–</w:t>
                            </w:r>
                            <w:r w:rsidR="006A7AF3" w:rsidRPr="00872957">
                              <w:rPr>
                                <w:i/>
                                <w:iCs/>
                                <w:color w:val="156082" w:themeColor="accent1"/>
                                <w:sz w:val="32"/>
                                <w:szCs w:val="32"/>
                                <w:lang w:val="en-US"/>
                              </w:rPr>
                              <w:t xml:space="preserve"> HRLSC Client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02AAFB" id="_x0000_s1028" type="#_x0000_t202" style="position:absolute;margin-left:.75pt;margin-top:149.25pt;width:472.5pt;height:110.55pt;z-index:25164390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" filled="f" stroked="f">
                <v:textbox style="mso-fit-shape-to-text:t">
                  <w:txbxContent>
                    <w:p w14:paraId="5DFDD747" w14:textId="62ABEDE2" w:rsidR="006A7AF3" w:rsidRPr="00872957" w:rsidRDefault="00F60A35" w:rsidP="006A7AF3">
                      <w:pPr>
                        <w:pBdr>
                          <w:top w:val="single" w:sz="24" w:space="8" w:color="156082" w:themeColor="accent1"/>
                          <w:bottom w:val="single" w:sz="24" w:space="8" w:color="156082" w:themeColor="accent1"/>
                        </w:pBdr>
                        <w:spacing w:after="0"/>
                        <w:rPr>
                          <w:i/>
                          <w:iCs/>
                          <w:color w:val="156082" w:themeColor="accent1"/>
                          <w:sz w:val="32"/>
                          <w:szCs w:val="32"/>
                        </w:rPr>
                      </w:pPr>
                      <w:r>
                        <w:rPr>
                          <w:i/>
                          <w:iCs/>
                          <w:color w:val="156082" w:themeColor="accent1"/>
                          <w:sz w:val="32"/>
                          <w:szCs w:val="32"/>
                        </w:rPr>
                        <w:t>’’</w:t>
                      </w:r>
                      <w:r w:rsidR="006A7AF3" w:rsidRPr="00872957">
                        <w:rPr>
                          <w:i/>
                          <w:iCs/>
                          <w:color w:val="156082" w:themeColor="accent1"/>
                          <w:sz w:val="32"/>
                          <w:szCs w:val="32"/>
                        </w:rPr>
                        <w:t xml:space="preserve">I am writing to express my deepest and most sincere gratitude for the excellent work your team at Human Rights Legal Support did on my case. </w:t>
                      </w:r>
                    </w:p>
                    <w:p w14:paraId="6E389E66" w14:textId="77777777" w:rsidR="006A7AF3" w:rsidRPr="00872957" w:rsidRDefault="006A7AF3" w:rsidP="006A7AF3">
                      <w:pPr>
                        <w:pBdr>
                          <w:top w:val="single" w:sz="24" w:space="8" w:color="156082" w:themeColor="accent1"/>
                          <w:bottom w:val="single" w:sz="24" w:space="8" w:color="156082" w:themeColor="accent1"/>
                        </w:pBdr>
                        <w:spacing w:after="0"/>
                        <w:rPr>
                          <w:i/>
                          <w:iCs/>
                          <w:color w:val="156082" w:themeColor="accent1"/>
                          <w:sz w:val="32"/>
                          <w:szCs w:val="32"/>
                        </w:rPr>
                      </w:pPr>
                    </w:p>
                    <w:p w14:paraId="0D21A692" w14:textId="56EA1A89" w:rsidR="006A7AF3" w:rsidRPr="00872957" w:rsidRDefault="006A7AF3" w:rsidP="006A7AF3">
                      <w:pPr>
                        <w:pBdr>
                          <w:top w:val="single" w:sz="24" w:space="8" w:color="156082" w:themeColor="accent1"/>
                          <w:bottom w:val="single" w:sz="24" w:space="8" w:color="156082" w:themeColor="accent1"/>
                        </w:pBdr>
                        <w:spacing w:after="0"/>
                        <w:rPr>
                          <w:i/>
                          <w:iCs/>
                          <w:color w:val="156082" w:themeColor="accent1"/>
                          <w:sz w:val="32"/>
                          <w:szCs w:val="32"/>
                          <w:lang w:val="en-US"/>
                        </w:rPr>
                      </w:pPr>
                      <w:r w:rsidRPr="00872957">
                        <w:rPr>
                          <w:i/>
                          <w:iCs/>
                          <w:color w:val="156082" w:themeColor="accent1"/>
                          <w:sz w:val="32"/>
                          <w:szCs w:val="32"/>
                        </w:rPr>
                        <w:t>Your dedication, expertise, and unwavering commitment to justice have profoundly restored my faith in the legal system and the power of human rights advocacy.</w:t>
                      </w:r>
                      <w:r w:rsidR="00872957" w:rsidRPr="00872957">
                        <w:rPr>
                          <w:i/>
                          <w:iCs/>
                          <w:color w:val="156082" w:themeColor="accent1"/>
                          <w:sz w:val="32"/>
                          <w:szCs w:val="32"/>
                        </w:rPr>
                        <w:t>”</w:t>
                      </w:r>
                    </w:p>
                    <w:p w14:paraId="5EFFD7B9" w14:textId="77777777" w:rsidR="006A7AF3" w:rsidRPr="00872957" w:rsidRDefault="006A7AF3" w:rsidP="006A7AF3">
                      <w:pPr>
                        <w:pBdr>
                          <w:top w:val="single" w:sz="24" w:space="8" w:color="156082" w:themeColor="accent1"/>
                          <w:bottom w:val="single" w:sz="24" w:space="8" w:color="156082" w:themeColor="accent1"/>
                        </w:pBdr>
                        <w:spacing w:after="0"/>
                        <w:rPr>
                          <w:i/>
                          <w:iCs/>
                          <w:color w:val="156082" w:themeColor="accent1"/>
                          <w:sz w:val="32"/>
                          <w:szCs w:val="32"/>
                          <w:lang w:val="en-US"/>
                        </w:rPr>
                      </w:pPr>
                    </w:p>
                    <w:p w14:paraId="1803C640" w14:textId="1855B5CE" w:rsidR="006A7AF3" w:rsidRPr="00872957" w:rsidRDefault="00872957" w:rsidP="006A7AF3">
                      <w:pPr>
                        <w:pBdr>
                          <w:top w:val="single" w:sz="24" w:space="8" w:color="156082" w:themeColor="accent1"/>
                          <w:bottom w:val="single" w:sz="24" w:space="8" w:color="156082" w:themeColor="accent1"/>
                        </w:pBdr>
                        <w:spacing w:after="0"/>
                        <w:rPr>
                          <w:i/>
                          <w:iCs/>
                          <w:color w:val="156082" w:themeColor="accent1"/>
                          <w:sz w:val="32"/>
                          <w:szCs w:val="32"/>
                          <w:lang w:val="en-US"/>
                        </w:rPr>
                      </w:pPr>
                      <w:r w:rsidRPr="00872957">
                        <w:rPr>
                          <w:i/>
                          <w:iCs/>
                          <w:color w:val="156082" w:themeColor="accent1"/>
                          <w:sz w:val="32"/>
                          <w:szCs w:val="32"/>
                          <w:lang w:val="en-US"/>
                        </w:rPr>
                        <w:t>–</w:t>
                      </w:r>
                      <w:r w:rsidR="006A7AF3" w:rsidRPr="00872957">
                        <w:rPr>
                          <w:i/>
                          <w:iCs/>
                          <w:color w:val="156082" w:themeColor="accent1"/>
                          <w:sz w:val="32"/>
                          <w:szCs w:val="32"/>
                          <w:lang w:val="en-US"/>
                        </w:rPr>
                        <w:t xml:space="preserve"> HRLSC Client</w:t>
                      </w:r>
                    </w:p>
                  </w:txbxContent>
                </v:textbox>
                <w10:wrap type="square" anchorx="margin" anchory="margin"/>
              </v:shape>
            </w:pict>
          </mc:Fallback>
        </mc:AlternateContent>
      </w:r>
      <w:r w:rsidR="008A37CC">
        <w:br w:type="page"/>
      </w:r>
    </w:p>
    <w:p w14:paraId="2423BB7B" w14:textId="12CC0FE6" w:rsidR="00505F37" w:rsidRPr="00CB687E" w:rsidRDefault="00505F37" w:rsidP="00505F37">
      <w:pPr>
        <w:pStyle w:val="Heading1"/>
      </w:pPr>
      <w:bookmarkStart w:id="57" w:name="_Toc204090267"/>
      <w:r w:rsidRPr="00CB687E">
        <w:lastRenderedPageBreak/>
        <w:t>4. Operational Performance</w:t>
      </w:r>
      <w:bookmarkEnd w:id="57"/>
    </w:p>
    <w:p w14:paraId="09DC119D" w14:textId="77777777" w:rsidR="00505F37" w:rsidRPr="00CB687E" w:rsidRDefault="00505F37" w:rsidP="00505F37">
      <w:pPr>
        <w:pStyle w:val="Heading2"/>
        <w:jc w:val="both"/>
      </w:pPr>
      <w:bookmarkStart w:id="58" w:name="_Toc201323040"/>
      <w:bookmarkStart w:id="59" w:name="_Toc204090268"/>
      <w:r w:rsidRPr="00CB687E">
        <w:t>4.1 Case Summaries</w:t>
      </w:r>
      <w:bookmarkEnd w:id="58"/>
      <w:bookmarkEnd w:id="59"/>
    </w:p>
    <w:p w14:paraId="5A9C62CA" w14:textId="77777777" w:rsidR="00505F37" w:rsidRPr="00CB687E" w:rsidRDefault="00505F37" w:rsidP="00505F37">
      <w:pPr>
        <w:pStyle w:val="Heading3"/>
        <w:jc w:val="both"/>
      </w:pPr>
      <w:bookmarkStart w:id="60" w:name="_Toc201323041"/>
      <w:bookmarkStart w:id="61" w:name="_Toc201753993"/>
      <w:bookmarkStart w:id="62" w:name="_Toc204090269"/>
      <w:r w:rsidRPr="00CB687E">
        <w:t>4.1.1 Judicial Reviews</w:t>
      </w:r>
      <w:bookmarkEnd w:id="60"/>
      <w:bookmarkEnd w:id="61"/>
      <w:bookmarkEnd w:id="62"/>
    </w:p>
    <w:p w14:paraId="3C86C669" w14:textId="77777777" w:rsidR="00505F37" w:rsidRPr="00CB687E" w:rsidRDefault="00505F37" w:rsidP="00505F37">
      <w:pPr>
        <w:pStyle w:val="Heading4"/>
        <w:jc w:val="both"/>
      </w:pPr>
      <w:bookmarkStart w:id="63" w:name="_Hlk201310594"/>
      <w:r w:rsidRPr="00CB687E">
        <w:t>Applicant Proceeds with Case at HRTO after Divisional Court overturns HRTO Decision to Dismiss Application as Abandoned</w:t>
      </w:r>
    </w:p>
    <w:bookmarkEnd w:id="63"/>
    <w:p w14:paraId="19767A9F" w14:textId="77777777" w:rsidR="00505F37" w:rsidRPr="00CB687E" w:rsidRDefault="00505F37" w:rsidP="00505F37">
      <w:pPr>
        <w:pStyle w:val="NoSpacing"/>
        <w:spacing w:before="240"/>
        <w:jc w:val="both"/>
        <w:rPr>
          <w:b/>
          <w:bCs/>
          <w:color w:val="747474" w:themeColor="background2" w:themeShade="80"/>
          <w:lang w:val="en-CA"/>
        </w:rPr>
      </w:pPr>
      <w:r w:rsidRPr="00CB687E">
        <w:rPr>
          <w:b/>
          <w:bCs/>
          <w:color w:val="747474" w:themeColor="background2" w:themeShade="80"/>
          <w:lang w:val="en-CA"/>
        </w:rPr>
        <w:t>Employment/disability</w:t>
      </w:r>
    </w:p>
    <w:p w14:paraId="714ADC62" w14:textId="77777777" w:rsidR="00505F37" w:rsidRPr="00CB687E" w:rsidRDefault="00505F37" w:rsidP="00505F37">
      <w:pPr>
        <w:pStyle w:val="NoSpacing"/>
        <w:spacing w:after="240"/>
        <w:jc w:val="both"/>
        <w:rPr>
          <w:i/>
          <w:iCs/>
          <w:lang w:val="en-CA"/>
        </w:rPr>
      </w:pPr>
      <w:r w:rsidRPr="00CB687E">
        <w:rPr>
          <w:i/>
          <w:iCs/>
          <w:lang w:val="en-CA"/>
        </w:rPr>
        <w:t xml:space="preserve">Ramirez v. Rockwell Automation Canada Ltd., </w:t>
      </w:r>
      <w:hyperlink r:id="rId22" w:history="1">
        <w:r w:rsidRPr="00CB687E">
          <w:rPr>
            <w:rStyle w:val="Hyperlink"/>
            <w:i/>
            <w:iCs/>
            <w:lang w:val="en-CA"/>
          </w:rPr>
          <w:t>2025 ONSC 1408</w:t>
        </w:r>
      </w:hyperlink>
    </w:p>
    <w:p w14:paraId="5FF58566" w14:textId="77777777" w:rsidR="00505F37" w:rsidRPr="00CB687E" w:rsidRDefault="00505F37" w:rsidP="00505F37">
      <w:pPr>
        <w:jc w:val="both"/>
      </w:pPr>
      <w:r w:rsidRPr="00CB687E">
        <w:t>On judicial review, the Divisional Court ruled it was unreasonable for the HRTO to find Fernando Ramirez had abandoned his application after missing one email, in a case related to disability and employment.</w:t>
      </w:r>
    </w:p>
    <w:p w14:paraId="690B862D" w14:textId="77777777" w:rsidR="00505F37" w:rsidRPr="00CB687E" w:rsidRDefault="00505F37" w:rsidP="00505F37">
      <w:pPr>
        <w:jc w:val="both"/>
      </w:pPr>
      <w:r w:rsidRPr="00CB687E">
        <w:t>In 2019, Ramirez’s HRTO application was deferred until the conclusion of a proceeding before the Worker Safety and Insurance Board (WSIB). During a two-year period after this deferral, Ramirez</w:t>
      </w:r>
      <w:r w:rsidRPr="00CB687E" w:rsidDel="00D375D6">
        <w:t xml:space="preserve"> </w:t>
      </w:r>
      <w:r w:rsidRPr="00CB687E">
        <w:t>responded to two requests for information from the HRTO and contacted the Tribunal about his file. However, following these successful exchanges, the HRTO sent an email seeking an update, which Ramirez</w:t>
      </w:r>
      <w:r w:rsidRPr="00CB687E" w:rsidDel="00D375D6">
        <w:t xml:space="preserve"> </w:t>
      </w:r>
      <w:r w:rsidRPr="00CB687E">
        <w:t>did not receive. When Ramirez did not respond, the HRTO dismissed his application as abandoned, with no further notice to him. Ramirez filed a request for reconsideration of that decision, but the request was denied.</w:t>
      </w:r>
    </w:p>
    <w:p w14:paraId="7A274A4E" w14:textId="32A767B8" w:rsidR="00505F37" w:rsidRPr="00CB687E" w:rsidRDefault="00505F37" w:rsidP="00505F37">
      <w:pPr>
        <w:jc w:val="both"/>
      </w:pPr>
      <w:r w:rsidRPr="00CB687E">
        <w:t>The HRLSC represented Ramirez at the Divisional Court. On March 7, 2025, the Divisional Court ruled it was unreasonable for the HRTO to find that Ramirez had abandoned his application, noting the HRTO should have considered the one missed email within the context of his past, successful communications.</w:t>
      </w:r>
    </w:p>
    <w:p w14:paraId="266D3C99" w14:textId="6DF16D33" w:rsidR="005B5BFE" w:rsidRDefault="00505F37" w:rsidP="00E669EB">
      <w:pPr>
        <w:jc w:val="both"/>
      </w:pPr>
      <w:r w:rsidRPr="00CB687E">
        <w:t>The Divisional Court also ruled that because the HRTO decision was obviously unfair, there was no reason to send the matter back to be reconsidered by the HRTO. Ramirez’s application will be heard again at the HRTO, after his WSIB proceeding is complete.</w:t>
      </w:r>
    </w:p>
    <w:p w14:paraId="61F72AD9" w14:textId="77777777" w:rsidR="005B5BFE" w:rsidRDefault="005B5BFE">
      <w:r>
        <w:br w:type="page"/>
      </w:r>
    </w:p>
    <w:p w14:paraId="3C6CD8A0" w14:textId="52B6B2EB" w:rsidR="00505F37" w:rsidRPr="00CB687E" w:rsidRDefault="00505F37" w:rsidP="00505F37">
      <w:pPr>
        <w:pStyle w:val="Heading4"/>
        <w:jc w:val="both"/>
      </w:pPr>
      <w:r w:rsidRPr="00CB687E">
        <w:lastRenderedPageBreak/>
        <w:t xml:space="preserve">HRTO Decision Stands: Denial of Guide Dog Benefit was Discriminatory </w:t>
      </w:r>
      <w:r w:rsidR="00EE1A7A">
        <w:t>B</w:t>
      </w:r>
      <w:r w:rsidRPr="00CB687E">
        <w:t>ased on Disability</w:t>
      </w:r>
    </w:p>
    <w:p w14:paraId="36BF3590" w14:textId="1DB26E13" w:rsidR="00505F37" w:rsidRPr="00CB687E" w:rsidRDefault="00505F37" w:rsidP="00505F37">
      <w:pPr>
        <w:pStyle w:val="NoSpacing"/>
        <w:spacing w:before="240"/>
        <w:jc w:val="both"/>
        <w:rPr>
          <w:b/>
          <w:bCs/>
          <w:color w:val="747474" w:themeColor="background2" w:themeShade="80"/>
          <w:lang w:val="en-CA"/>
        </w:rPr>
      </w:pPr>
      <w:r w:rsidRPr="00CB687E">
        <w:rPr>
          <w:b/>
          <w:bCs/>
          <w:color w:val="747474" w:themeColor="background2" w:themeShade="80"/>
          <w:lang w:val="en-CA"/>
        </w:rPr>
        <w:t>Services, goods, facilities/disability</w:t>
      </w:r>
    </w:p>
    <w:p w14:paraId="60769B12" w14:textId="77777777" w:rsidR="00505F37" w:rsidRPr="00CB687E" w:rsidRDefault="00505F37" w:rsidP="00505F37">
      <w:pPr>
        <w:pStyle w:val="NoSpacing"/>
        <w:spacing w:after="240"/>
        <w:jc w:val="both"/>
        <w:rPr>
          <w:i/>
          <w:iCs/>
          <w:spacing w:val="-11"/>
          <w:lang w:val="en-CA"/>
        </w:rPr>
      </w:pPr>
      <w:r w:rsidRPr="00CB687E">
        <w:rPr>
          <w:i/>
          <w:iCs/>
          <w:spacing w:val="-11"/>
          <w:lang w:val="en-CA"/>
        </w:rPr>
        <w:t xml:space="preserve">Ontario (Minister of Children, Community and Social Services) v. Robinson-Cooke, </w:t>
      </w:r>
      <w:hyperlink r:id="rId23" w:history="1">
        <w:r w:rsidRPr="00CB687E">
          <w:rPr>
            <w:rStyle w:val="Hyperlink"/>
            <w:i/>
            <w:iCs/>
            <w:spacing w:val="-11"/>
            <w:lang w:val="en-CA"/>
          </w:rPr>
          <w:t>2024 ONSC 3556</w:t>
        </w:r>
      </w:hyperlink>
    </w:p>
    <w:p w14:paraId="4127DF80" w14:textId="282D6BBD" w:rsidR="00505F37" w:rsidRPr="00CB687E" w:rsidRDefault="00505F37" w:rsidP="00505F37">
      <w:pPr>
        <w:jc w:val="both"/>
      </w:pPr>
      <w:r w:rsidRPr="00CB687E">
        <w:t xml:space="preserve">A Divisional Court ruling upheld the </w:t>
      </w:r>
      <w:hyperlink r:id="rId24" w:history="1">
        <w:r w:rsidRPr="00CB687E">
          <w:rPr>
            <w:rStyle w:val="Hyperlink"/>
          </w:rPr>
          <w:t>original decision</w:t>
        </w:r>
      </w:hyperlink>
      <w:r w:rsidRPr="00CB687E">
        <w:t xml:space="preserve"> at the HRTO in the case of the HRLSC’s client Destiny Robinson-Cooke, who was unable to </w:t>
      </w:r>
      <w:r w:rsidR="00A25AA1" w:rsidRPr="00CB687E">
        <w:t xml:space="preserve">obtain </w:t>
      </w:r>
      <w:r w:rsidRPr="00CB687E">
        <w:t xml:space="preserve">a service dog from an accredited facility for her disability needs, causing her to be ineligible for the Ontario Disability Support Program’s Guide Dog Benefit. </w:t>
      </w:r>
    </w:p>
    <w:p w14:paraId="31B602CC" w14:textId="77777777" w:rsidR="00505F37" w:rsidRPr="00CB687E" w:rsidRDefault="00505F37" w:rsidP="00505F37">
      <w:pPr>
        <w:jc w:val="both"/>
      </w:pPr>
      <w:r w:rsidRPr="00CB687E">
        <w:t>The Ministry of Children, Community and Social Services (MCSS) requested a judicial review of the original HRTO decision, which had ordered the Province to review its policies around benefits for individuals requiring guide dogs.</w:t>
      </w:r>
    </w:p>
    <w:p w14:paraId="2E962906" w14:textId="77777777" w:rsidR="00505F37" w:rsidRPr="00CB687E" w:rsidRDefault="00505F37" w:rsidP="00505F37">
      <w:pPr>
        <w:jc w:val="both"/>
      </w:pPr>
      <w:r w:rsidRPr="00CB687E">
        <w:t xml:space="preserve">The Divisional Court upheld the HRTO decision, finding that the Tribunal had applied the correct legal tests, properly assessed the evidence and came to a reasonable finding that the Guide Dog policy was discriminatory based on disability. </w:t>
      </w:r>
      <w:bookmarkStart w:id="64" w:name="_Hlk200464671"/>
      <w:bookmarkStart w:id="65" w:name="_Hlk201310708"/>
      <w:r w:rsidRPr="00CB687E">
        <w:t xml:space="preserve">The Court also agreed that the HRTO remedies ordered for the MCSS to make systemic changes to its Guide Dog policy and practice </w:t>
      </w:r>
      <w:bookmarkEnd w:id="64"/>
      <w:r w:rsidRPr="00CB687E">
        <w:t>were reasonable.</w:t>
      </w:r>
    </w:p>
    <w:bookmarkEnd w:id="65"/>
    <w:p w14:paraId="51B087A5" w14:textId="77777777" w:rsidR="00505F37" w:rsidRPr="00CB687E" w:rsidRDefault="00505F37" w:rsidP="00505F37">
      <w:pPr>
        <w:jc w:val="both"/>
      </w:pPr>
      <w:r w:rsidRPr="00CB687E">
        <w:t>The Court of Appeal denied the Province’s request for leave to appeal the case further. As a result, the decisions of the HRTO and Divisional Court have been upheld and will not be subject to any further challenges.</w:t>
      </w:r>
    </w:p>
    <w:p w14:paraId="7C50B52E" w14:textId="7CE29CD1" w:rsidR="00E669EB" w:rsidRDefault="00505F37" w:rsidP="00505F37">
      <w:pPr>
        <w:jc w:val="both"/>
      </w:pPr>
      <w:r w:rsidRPr="00CB687E">
        <w:t xml:space="preserve">Following the conclusion of these cases, the MCSS is required to follow </w:t>
      </w:r>
      <w:hyperlink r:id="rId25" w:history="1">
        <w:r w:rsidRPr="00CB687E">
          <w:rPr>
            <w:rStyle w:val="Hyperlink"/>
          </w:rPr>
          <w:t>the HRTO’s original remedies</w:t>
        </w:r>
      </w:hyperlink>
      <w:r w:rsidRPr="00CB687E">
        <w:t>, which included conducting a review into developing a more inclusive method of determining eligibility for the Guide Dog Benefit.</w:t>
      </w:r>
    </w:p>
    <w:p w14:paraId="3F43A9A9" w14:textId="77777777" w:rsidR="00505F37" w:rsidRPr="00CB687E" w:rsidRDefault="00505F37" w:rsidP="00505F37">
      <w:pPr>
        <w:pStyle w:val="Heading3"/>
        <w:jc w:val="both"/>
      </w:pPr>
      <w:bookmarkStart w:id="66" w:name="_Toc201323042"/>
      <w:bookmarkStart w:id="67" w:name="_Toc201753994"/>
      <w:bookmarkStart w:id="68" w:name="_Toc204090270"/>
      <w:r w:rsidRPr="00CB687E">
        <w:t>4.1.2 HRTO Hearings</w:t>
      </w:r>
      <w:bookmarkEnd w:id="66"/>
      <w:bookmarkEnd w:id="67"/>
      <w:bookmarkEnd w:id="68"/>
    </w:p>
    <w:p w14:paraId="21D08D4A" w14:textId="77777777" w:rsidR="00505F37" w:rsidRPr="00CB687E" w:rsidRDefault="00505F37" w:rsidP="00505F37">
      <w:pPr>
        <w:pStyle w:val="Heading4"/>
        <w:jc w:val="both"/>
      </w:pPr>
      <w:r w:rsidRPr="00CB687E">
        <w:t>Systemic Policy Changes Recommended at OPP to Address Disability Related Needs in Police Custody</w:t>
      </w:r>
    </w:p>
    <w:p w14:paraId="58C92201" w14:textId="77777777" w:rsidR="00505F37" w:rsidRPr="00CB687E" w:rsidRDefault="00505F37" w:rsidP="00505F37">
      <w:pPr>
        <w:pStyle w:val="NoSpacing"/>
        <w:spacing w:before="240"/>
        <w:jc w:val="both"/>
        <w:rPr>
          <w:b/>
          <w:bCs/>
          <w:color w:val="747474" w:themeColor="background2" w:themeShade="80"/>
          <w:lang w:val="en-CA"/>
        </w:rPr>
      </w:pPr>
      <w:r w:rsidRPr="00CB687E">
        <w:rPr>
          <w:b/>
          <w:bCs/>
          <w:color w:val="747474" w:themeColor="background2" w:themeShade="80"/>
          <w:lang w:val="en-CA"/>
        </w:rPr>
        <w:t>Services, goods, facilities/disability</w:t>
      </w:r>
    </w:p>
    <w:p w14:paraId="372A5D33" w14:textId="77777777" w:rsidR="00505F37" w:rsidRPr="00CB687E" w:rsidRDefault="00505F37" w:rsidP="00505F37">
      <w:pPr>
        <w:pStyle w:val="NoSpacing"/>
        <w:spacing w:after="240"/>
        <w:jc w:val="both"/>
        <w:rPr>
          <w:lang w:val="en-CA"/>
        </w:rPr>
      </w:pPr>
      <w:r w:rsidRPr="00CB687E">
        <w:rPr>
          <w:i/>
          <w:iCs/>
          <w:lang w:val="en-CA"/>
        </w:rPr>
        <w:t>Powell v. Ontario (Solicitor General)</w:t>
      </w:r>
      <w:r w:rsidRPr="00CB687E">
        <w:rPr>
          <w:lang w:val="en-CA"/>
        </w:rPr>
        <w:t xml:space="preserve">, </w:t>
      </w:r>
      <w:hyperlink r:id="rId26" w:history="1">
        <w:r w:rsidRPr="00CB687E">
          <w:rPr>
            <w:rStyle w:val="Hyperlink"/>
            <w:i/>
            <w:iCs/>
            <w:lang w:val="en-CA"/>
          </w:rPr>
          <w:t>2023 HRTO 1497</w:t>
        </w:r>
      </w:hyperlink>
      <w:r w:rsidRPr="00CB687E">
        <w:rPr>
          <w:lang w:val="en-CA"/>
        </w:rPr>
        <w:t xml:space="preserve"> </w:t>
      </w:r>
    </w:p>
    <w:p w14:paraId="6F464963" w14:textId="77777777" w:rsidR="00505F37" w:rsidRPr="00CB687E" w:rsidRDefault="00505F37" w:rsidP="00505F37">
      <w:pPr>
        <w:jc w:val="both"/>
      </w:pPr>
      <w:r w:rsidRPr="00CB687E">
        <w:t xml:space="preserve">The Ontario Provincial Police (OPP) was ordered to review its policies, procedures and protocols, with a particular focus on the treatment of persons with diabetes, after failing to accommodate a diabetic woman in custody. </w:t>
      </w:r>
    </w:p>
    <w:p w14:paraId="767A4F53" w14:textId="4A8E04AB" w:rsidR="00505F37" w:rsidRPr="00CB687E" w:rsidRDefault="00505F37" w:rsidP="00505F37">
      <w:pPr>
        <w:jc w:val="both"/>
      </w:pPr>
      <w:r w:rsidRPr="00CB687E">
        <w:lastRenderedPageBreak/>
        <w:t xml:space="preserve">The HRLSC’s client was a woman taken into OPP custody and at the time of detention </w:t>
      </w:r>
      <w:r w:rsidR="00B55EE5" w:rsidRPr="00CB687E">
        <w:t>the police were</w:t>
      </w:r>
      <w:r w:rsidRPr="00CB687E">
        <w:t xml:space="preserve"> informed by her spouse that she had diabetes. A short time later, the spouse brought the applicant’s insulin medication and glucose testing instruments to the police station. Despite being notified of her health condition and being provided with her health aids, the police made no inquiries of the applicant about her diabetes, nor did the police offer her the use of her testing equipment or medication during her time in custody.</w:t>
      </w:r>
    </w:p>
    <w:p w14:paraId="4D4226CD" w14:textId="77777777" w:rsidR="00505F37" w:rsidRPr="00CB687E" w:rsidRDefault="00505F37" w:rsidP="00505F37">
      <w:pPr>
        <w:jc w:val="both"/>
      </w:pPr>
      <w:r w:rsidRPr="00CB687E">
        <w:t>The HRTO found that the police had sufficient knowledge of the applicant’s disability that it had a duty to inquire as to whether the applicant needed access to her glucose monitor and insulin.</w:t>
      </w:r>
    </w:p>
    <w:p w14:paraId="7DD765DA" w14:textId="77777777" w:rsidR="00505F37" w:rsidRPr="00CB687E" w:rsidRDefault="00505F37" w:rsidP="00505F37">
      <w:pPr>
        <w:jc w:val="both"/>
      </w:pPr>
      <w:r w:rsidRPr="00CB687E">
        <w:t>The HRTO ordered:</w:t>
      </w:r>
    </w:p>
    <w:p w14:paraId="4B6B652A" w14:textId="77777777" w:rsidR="00505F37" w:rsidRPr="00CB687E" w:rsidRDefault="00505F37" w:rsidP="00505F37">
      <w:pPr>
        <w:pStyle w:val="ListParagraph"/>
        <w:numPr>
          <w:ilvl w:val="0"/>
          <w:numId w:val="9"/>
        </w:numPr>
        <w:jc w:val="both"/>
      </w:pPr>
      <w:r w:rsidRPr="00CB687E">
        <w:t>$2,000 in general damages; and</w:t>
      </w:r>
    </w:p>
    <w:p w14:paraId="7214D798" w14:textId="77777777" w:rsidR="00505F37" w:rsidRPr="00CB687E" w:rsidRDefault="00505F37" w:rsidP="00505F37">
      <w:pPr>
        <w:pStyle w:val="ListParagraph"/>
        <w:numPr>
          <w:ilvl w:val="0"/>
          <w:numId w:val="9"/>
        </w:numPr>
        <w:jc w:val="both"/>
      </w:pPr>
      <w:r w:rsidRPr="00CB687E">
        <w:t xml:space="preserve">Hiring an external consultant to </w:t>
      </w:r>
      <w:hyperlink r:id="rId27" w:history="1">
        <w:r w:rsidRPr="00CB687E">
          <w:rPr>
            <w:rStyle w:val="Hyperlink"/>
          </w:rPr>
          <w:t>conduct a review of its policies</w:t>
        </w:r>
      </w:hyperlink>
      <w:r w:rsidRPr="00CB687E">
        <w:t>, procedures and protocols related to the screening of individuals entering custody.</w:t>
      </w:r>
    </w:p>
    <w:p w14:paraId="249FCC2B" w14:textId="77777777" w:rsidR="00505F37" w:rsidRPr="00CB687E" w:rsidRDefault="00505F37" w:rsidP="00505F37">
      <w:pPr>
        <w:jc w:val="both"/>
        <w:rPr>
          <w:i/>
          <w:iCs/>
        </w:rPr>
      </w:pPr>
      <w:r w:rsidRPr="00CB687E">
        <w:t>Nine months later, the external report recommended: “A new policy on custody and prisoner care and control should include a duty to inquire about medical information for all arresting and custodial officers.</w:t>
      </w:r>
      <w:r w:rsidRPr="00CB687E">
        <w:rPr>
          <w:i/>
          <w:iCs/>
        </w:rPr>
        <w:t>”</w:t>
      </w:r>
    </w:p>
    <w:p w14:paraId="21686178" w14:textId="77777777" w:rsidR="00505F37" w:rsidRPr="00CB687E" w:rsidRDefault="00505F37" w:rsidP="00505F37">
      <w:pPr>
        <w:pStyle w:val="Heading4"/>
        <w:jc w:val="both"/>
      </w:pPr>
      <w:r w:rsidRPr="00CB687E">
        <w:t>Indigenous Family wins Discrimination Case against North Bay Transit</w:t>
      </w:r>
    </w:p>
    <w:p w14:paraId="3C6FF5E3" w14:textId="77777777" w:rsidR="00505F37" w:rsidRPr="00CB687E" w:rsidRDefault="00505F37" w:rsidP="00505F37">
      <w:pPr>
        <w:pStyle w:val="NoSpacing"/>
        <w:spacing w:before="240"/>
        <w:jc w:val="both"/>
        <w:rPr>
          <w:b/>
          <w:bCs/>
          <w:color w:val="747474" w:themeColor="background2" w:themeShade="80"/>
          <w:lang w:val="en-CA"/>
        </w:rPr>
      </w:pPr>
      <w:r w:rsidRPr="00CB687E">
        <w:rPr>
          <w:b/>
          <w:bCs/>
          <w:color w:val="747474" w:themeColor="background2" w:themeShade="80"/>
          <w:lang w:val="en-CA"/>
        </w:rPr>
        <w:t>Services, goods, facilities/race, colour, ancestry, place of origin, ethnic origin</w:t>
      </w:r>
    </w:p>
    <w:p w14:paraId="2E38CF45" w14:textId="77777777" w:rsidR="00505F37" w:rsidRPr="00CB687E" w:rsidRDefault="00505F37" w:rsidP="00505F37">
      <w:pPr>
        <w:jc w:val="both"/>
        <w:rPr>
          <w:spacing w:val="-6"/>
        </w:rPr>
      </w:pPr>
      <w:r w:rsidRPr="00CB687E">
        <w:rPr>
          <w:i/>
          <w:iCs/>
          <w:spacing w:val="-6"/>
        </w:rPr>
        <w:t>Nakogee v. The Corporation of the City of North Bay o/a North Bay Transit,</w:t>
      </w:r>
      <w:r w:rsidRPr="00CB687E">
        <w:rPr>
          <w:spacing w:val="-6"/>
        </w:rPr>
        <w:t xml:space="preserve"> </w:t>
      </w:r>
      <w:hyperlink r:id="rId28" w:history="1">
        <w:r w:rsidRPr="00CB687E">
          <w:rPr>
            <w:rStyle w:val="Hyperlink"/>
            <w:i/>
            <w:iCs/>
            <w:spacing w:val="-6"/>
          </w:rPr>
          <w:t>2024 HRTO 1838</w:t>
        </w:r>
      </w:hyperlink>
    </w:p>
    <w:p w14:paraId="547460AF" w14:textId="77777777" w:rsidR="00505F37" w:rsidRPr="00CB687E" w:rsidRDefault="00505F37" w:rsidP="00505F37">
      <w:pPr>
        <w:jc w:val="both"/>
      </w:pPr>
      <w:r w:rsidRPr="00CB687E">
        <w:t xml:space="preserve">The HRTO ruled that North Bay Transit must pay damages, make policy changes, and train staff, after a driver refused to let the HRLSC’s client, an Indigenous family, onto a bus. </w:t>
      </w:r>
    </w:p>
    <w:p w14:paraId="0FADF284" w14:textId="77777777" w:rsidR="00505F37" w:rsidRPr="00CB687E" w:rsidRDefault="00505F37" w:rsidP="00505F37">
      <w:pPr>
        <w:jc w:val="both"/>
      </w:pPr>
      <w:r w:rsidRPr="00CB687E">
        <w:t xml:space="preserve">Paula Nakogee and her adult sons, Kendall and Austin, were denied from boarding a North Bay bus outside a shopping centre, despite having valid bus passes. They were the only Indigenous people waiting for the bus, along with 15 to 20 other passengers who were all allowed to board. The driver did not suggest an alternative route or provide any explanation as to why he was refusing service. </w:t>
      </w:r>
    </w:p>
    <w:p w14:paraId="1F3D7CBC" w14:textId="77777777" w:rsidR="00505F37" w:rsidRPr="00CB687E" w:rsidRDefault="00505F37" w:rsidP="00505F37">
      <w:pPr>
        <w:jc w:val="both"/>
      </w:pPr>
      <w:r w:rsidRPr="00CB687E">
        <w:t xml:space="preserve">The HRTO found that the applicants’ race, colour, ancestry, place of origin and ethnic origin were factors in their treatment. The HRTO also found that North Bay Transit additionally violated the </w:t>
      </w:r>
      <w:r w:rsidRPr="00CB687E">
        <w:rPr>
          <w:i/>
          <w:iCs/>
        </w:rPr>
        <w:t xml:space="preserve">Code </w:t>
      </w:r>
      <w:r w:rsidRPr="00CB687E">
        <w:t xml:space="preserve">when it did not properly investigate the applicants’ complaints. </w:t>
      </w:r>
    </w:p>
    <w:p w14:paraId="14E6F66A" w14:textId="69E046BA" w:rsidR="00505F37" w:rsidRPr="00CB687E" w:rsidRDefault="00505F37" w:rsidP="00505F37">
      <w:pPr>
        <w:jc w:val="both"/>
      </w:pPr>
      <w:r w:rsidRPr="00CB687E">
        <w:lastRenderedPageBreak/>
        <w:t>The HRTO noted that there is no direct competitor to a municipal transit service, and that the family experienced significant financial strain following the incident as they avoided taking this particular route home, instead paying for taxis or walking long distances, often in inclement weather.</w:t>
      </w:r>
      <w:r w:rsidR="00A6779D">
        <w:t xml:space="preserve"> </w:t>
      </w:r>
    </w:p>
    <w:p w14:paraId="7B880A3C" w14:textId="77777777" w:rsidR="00505F37" w:rsidRPr="00CB687E" w:rsidRDefault="00505F37" w:rsidP="00505F37">
      <w:pPr>
        <w:jc w:val="both"/>
      </w:pPr>
      <w:r w:rsidRPr="00CB687E">
        <w:t>The HRTO ordered North Bay Transit to:</w:t>
      </w:r>
    </w:p>
    <w:p w14:paraId="2CFD95CF" w14:textId="77777777" w:rsidR="00505F37" w:rsidRPr="00CB687E" w:rsidRDefault="00505F37" w:rsidP="00505F37">
      <w:pPr>
        <w:pStyle w:val="ListParagraph"/>
        <w:numPr>
          <w:ilvl w:val="0"/>
          <w:numId w:val="7"/>
        </w:numPr>
        <w:jc w:val="both"/>
      </w:pPr>
      <w:r w:rsidRPr="00CB687E">
        <w:t>Pay $15,000 in damages for injury to dignity and mental distress to each of the three applicants;</w:t>
      </w:r>
    </w:p>
    <w:p w14:paraId="17690356" w14:textId="77777777" w:rsidR="00505F37" w:rsidRPr="00CB687E" w:rsidRDefault="00505F37" w:rsidP="00505F37">
      <w:pPr>
        <w:pStyle w:val="ListParagraph"/>
        <w:numPr>
          <w:ilvl w:val="0"/>
          <w:numId w:val="7"/>
        </w:numPr>
        <w:jc w:val="both"/>
      </w:pPr>
      <w:r w:rsidRPr="00CB687E">
        <w:t>Develop new customer complaint and investigation policies; and</w:t>
      </w:r>
    </w:p>
    <w:p w14:paraId="32B1CB9E" w14:textId="77777777" w:rsidR="00505F37" w:rsidRPr="00CB687E" w:rsidRDefault="00505F37" w:rsidP="00505F37">
      <w:pPr>
        <w:pStyle w:val="ListParagraph"/>
        <w:numPr>
          <w:ilvl w:val="0"/>
          <w:numId w:val="7"/>
        </w:numPr>
        <w:jc w:val="both"/>
      </w:pPr>
      <w:r w:rsidRPr="00CB687E">
        <w:t>Hire an expert to provide training to all staff on racial discrimination, racial profiling and Indigenous cultural competence.</w:t>
      </w:r>
    </w:p>
    <w:p w14:paraId="649DD4B7" w14:textId="77777777" w:rsidR="00505F37" w:rsidRPr="00CB687E" w:rsidRDefault="00505F37" w:rsidP="00505F37">
      <w:pPr>
        <w:pStyle w:val="Heading4"/>
        <w:jc w:val="both"/>
      </w:pPr>
      <w:bookmarkStart w:id="69" w:name="_Hlk201310283"/>
      <w:r w:rsidRPr="00CB687E">
        <w:t xml:space="preserve">Denial of Services Against Trans Woman was Discrimination </w:t>
      </w:r>
      <w:bookmarkEnd w:id="69"/>
    </w:p>
    <w:p w14:paraId="15F6611A" w14:textId="77777777" w:rsidR="00505F37" w:rsidRPr="00CB687E" w:rsidRDefault="00505F37" w:rsidP="00505F37">
      <w:pPr>
        <w:pStyle w:val="NoSpacing"/>
        <w:spacing w:before="240"/>
        <w:jc w:val="both"/>
        <w:rPr>
          <w:b/>
          <w:bCs/>
          <w:color w:val="747474" w:themeColor="background2" w:themeShade="80"/>
          <w:lang w:val="en-CA"/>
        </w:rPr>
      </w:pPr>
      <w:r w:rsidRPr="00CB687E">
        <w:rPr>
          <w:b/>
          <w:bCs/>
          <w:color w:val="747474" w:themeColor="background2" w:themeShade="80"/>
          <w:lang w:val="en-CA"/>
        </w:rPr>
        <w:t>Services, goods, facilities/gender expression, gender expression</w:t>
      </w:r>
    </w:p>
    <w:p w14:paraId="27F7D626" w14:textId="77777777" w:rsidR="00505F37" w:rsidRPr="00CB687E" w:rsidRDefault="00505F37" w:rsidP="00505F37">
      <w:pPr>
        <w:pStyle w:val="NoSpacing"/>
        <w:jc w:val="both"/>
        <w:rPr>
          <w:i/>
          <w:iCs/>
          <w:lang w:val="en-CA"/>
        </w:rPr>
      </w:pPr>
      <w:r w:rsidRPr="00CB687E">
        <w:rPr>
          <w:i/>
          <w:iCs/>
          <w:lang w:val="en-CA"/>
        </w:rPr>
        <w:t>A.B. v. Mad Wax Windsor Inc.</w:t>
      </w:r>
      <w:r w:rsidRPr="00CB687E">
        <w:rPr>
          <w:lang w:val="en-CA"/>
        </w:rPr>
        <w:t xml:space="preserve">, </w:t>
      </w:r>
      <w:hyperlink r:id="rId29" w:history="1">
        <w:r w:rsidRPr="00CB687E">
          <w:rPr>
            <w:rStyle w:val="Hyperlink"/>
            <w:i/>
            <w:iCs/>
            <w:lang w:val="en-CA"/>
          </w:rPr>
          <w:t>2024 HRTO 721</w:t>
        </w:r>
      </w:hyperlink>
    </w:p>
    <w:p w14:paraId="69DF3004" w14:textId="7CB57125" w:rsidR="00505F37" w:rsidRPr="00CB687E" w:rsidRDefault="00505F37" w:rsidP="00505F37">
      <w:pPr>
        <w:spacing w:before="240"/>
        <w:jc w:val="both"/>
      </w:pPr>
      <w:r w:rsidRPr="00CB687E">
        <w:t xml:space="preserve">The HRTO found that the HRLSC’s client, an Indigenous trans woman, was discriminated against after she was denied leg waxing services by a salon because of her gender identity. In addition, the HRTO also found that the owner of the salon had violated the </w:t>
      </w:r>
      <w:r w:rsidRPr="00CB687E">
        <w:rPr>
          <w:i/>
          <w:iCs/>
        </w:rPr>
        <w:t>Human Rights Code</w:t>
      </w:r>
      <w:r w:rsidRPr="00CB687E">
        <w:t xml:space="preserve"> through his subsequent attempts to contact the media, where he misgendered the applicant and made disparaging comments related to the applicant’s gender identity. He also publicized the applicant’s full name, contact information, and name of her employer. The HRTO found that these actions constituted reprisal, as they were intentional acts of retaliation against the applicant for attempting to assert her rights under the </w:t>
      </w:r>
      <w:r w:rsidRPr="00CB687E">
        <w:rPr>
          <w:i/>
          <w:iCs/>
        </w:rPr>
        <w:t>Code</w:t>
      </w:r>
      <w:r w:rsidRPr="00CB687E">
        <w:t>.</w:t>
      </w:r>
    </w:p>
    <w:p w14:paraId="3241FCD8" w14:textId="1C63FF5D" w:rsidR="00505F37" w:rsidRPr="00CB687E" w:rsidRDefault="00505F37" w:rsidP="00505F37">
      <w:pPr>
        <w:spacing w:before="240"/>
        <w:jc w:val="both"/>
      </w:pPr>
      <w:r w:rsidRPr="00CB687E">
        <w:t>The respondents’ efforts to publicize A.B.’s private information, including her name and contact coordinates and details of the complaint, caused A.B. significant distress. The HRTO noted that the respondents’ overtures to media outlets “opened up a non-consensual public conversation as to the status of [A.B.’s] physical transition,” which was very traumatizing. The impact of the reprisal also caused the applicant to relapse into substance use, which led to the loss of her job and the breakup of her marriage. Ultimately, the applicant felt she could no longer stay in her community</w:t>
      </w:r>
      <w:r w:rsidR="00EA4435">
        <w:t xml:space="preserve"> and moved</w:t>
      </w:r>
      <w:r w:rsidRPr="00CB687E">
        <w:t>.</w:t>
      </w:r>
    </w:p>
    <w:p w14:paraId="288DB9D2" w14:textId="77777777" w:rsidR="00505F37" w:rsidRPr="00CB687E" w:rsidRDefault="00505F37" w:rsidP="00505F37">
      <w:pPr>
        <w:spacing w:before="240"/>
        <w:jc w:val="both"/>
      </w:pPr>
      <w:r w:rsidRPr="00CB687E">
        <w:t>The HRTO awarded the applicant $35,000 in damages for injury to dignity and mental distress and ordered the personal respondent and all his employees to complete the OHRC’s Human Rights 101 eLearning module.</w:t>
      </w:r>
    </w:p>
    <w:p w14:paraId="0A811936" w14:textId="77777777" w:rsidR="00505F37" w:rsidRPr="00CB687E" w:rsidRDefault="00505F37" w:rsidP="00505F37">
      <w:pPr>
        <w:pStyle w:val="Heading4"/>
        <w:jc w:val="both"/>
      </w:pPr>
      <w:r w:rsidRPr="00CB687E">
        <w:lastRenderedPageBreak/>
        <w:t>HRTO Rules for Applicant in Workplace Sexual Harassment Case</w:t>
      </w:r>
    </w:p>
    <w:p w14:paraId="15B0ECC2" w14:textId="77777777" w:rsidR="00505F37" w:rsidRPr="00CB687E" w:rsidRDefault="00505F37" w:rsidP="00505F37">
      <w:pPr>
        <w:pStyle w:val="NoSpacing"/>
        <w:spacing w:before="240"/>
        <w:jc w:val="both"/>
        <w:rPr>
          <w:b/>
          <w:bCs/>
          <w:color w:val="747474" w:themeColor="background2" w:themeShade="80"/>
          <w:lang w:val="en-CA"/>
        </w:rPr>
      </w:pPr>
      <w:r w:rsidRPr="00CB687E">
        <w:rPr>
          <w:b/>
          <w:bCs/>
          <w:color w:val="747474" w:themeColor="background2" w:themeShade="80"/>
          <w:lang w:val="en-CA"/>
        </w:rPr>
        <w:t>Employment/sexual harassment, sexual solicitations and advances</w:t>
      </w:r>
    </w:p>
    <w:p w14:paraId="3F779489" w14:textId="77777777" w:rsidR="00505F37" w:rsidRPr="00CB687E" w:rsidRDefault="00505F37" w:rsidP="00505F37">
      <w:pPr>
        <w:pStyle w:val="NoSpacing"/>
        <w:spacing w:after="240"/>
        <w:jc w:val="both"/>
        <w:rPr>
          <w:i/>
          <w:iCs/>
          <w:lang w:val="en-CA"/>
        </w:rPr>
      </w:pPr>
      <w:r w:rsidRPr="00CB687E">
        <w:rPr>
          <w:i/>
          <w:iCs/>
          <w:lang w:val="en-CA"/>
        </w:rPr>
        <w:t>Aloy-Sadakane v. Data &amp; Scientific Inc.</w:t>
      </w:r>
      <w:r w:rsidRPr="00CB687E">
        <w:rPr>
          <w:lang w:val="en-CA"/>
        </w:rPr>
        <w:t xml:space="preserve"> </w:t>
      </w:r>
      <w:hyperlink r:id="rId30" w:history="1">
        <w:r w:rsidRPr="00CB687E">
          <w:rPr>
            <w:rStyle w:val="Hyperlink"/>
            <w:i/>
            <w:iCs/>
            <w:lang w:val="en-CA"/>
          </w:rPr>
          <w:t>2024 HRTO 770</w:t>
        </w:r>
      </w:hyperlink>
    </w:p>
    <w:p w14:paraId="698A1F3D" w14:textId="77777777" w:rsidR="00505F37" w:rsidRPr="00CB687E" w:rsidRDefault="00505F37" w:rsidP="00505F37">
      <w:pPr>
        <w:jc w:val="both"/>
      </w:pPr>
      <w:r w:rsidRPr="00CB687E">
        <w:t>The applicant worked at a two-person office for a computer service company. The personal respondent made comments about the applicant’s sexual orientation, her desirability as a sexual partner, and spouse, as well as solicitation of sexual acts. This harassment continued despite the applicant’s threats to report this behaviour to the police. The personal respondent also repeatedly made unwanted physical contact with the applicant.</w:t>
      </w:r>
    </w:p>
    <w:p w14:paraId="72DD4E55" w14:textId="77777777" w:rsidR="00505F37" w:rsidRPr="00CB687E" w:rsidRDefault="00505F37" w:rsidP="00505F37">
      <w:pPr>
        <w:jc w:val="both"/>
      </w:pPr>
      <w:r w:rsidRPr="00CB687E">
        <w:t xml:space="preserve">After the personal respondent failed to respond to the HRTO’s notices, the Tribunal issued an interim decision deeming the respondents to have accepted all the allegations set out in the Application and had waived their rights to further notice or participation in the proceedings. </w:t>
      </w:r>
    </w:p>
    <w:p w14:paraId="2F1317A7" w14:textId="77777777" w:rsidR="00505F37" w:rsidRPr="00CB687E" w:rsidRDefault="00505F37" w:rsidP="00505F37">
      <w:pPr>
        <w:jc w:val="both"/>
      </w:pPr>
      <w:r w:rsidRPr="00CB687E">
        <w:t>The HRTO ordered:</w:t>
      </w:r>
    </w:p>
    <w:p w14:paraId="0A7F366A" w14:textId="77777777" w:rsidR="00505F37" w:rsidRPr="00CB687E" w:rsidRDefault="00505F37" w:rsidP="00505F37">
      <w:pPr>
        <w:pStyle w:val="ListParagraph"/>
        <w:numPr>
          <w:ilvl w:val="0"/>
          <w:numId w:val="8"/>
        </w:numPr>
        <w:jc w:val="both"/>
      </w:pPr>
      <w:r w:rsidRPr="00CB687E">
        <w:t>$50,000 in damages for injury to dignity and mental distress;</w:t>
      </w:r>
    </w:p>
    <w:p w14:paraId="4D5744B1" w14:textId="77777777" w:rsidR="00505F37" w:rsidRPr="00CB687E" w:rsidRDefault="00505F37" w:rsidP="00505F37">
      <w:pPr>
        <w:pStyle w:val="ListParagraph"/>
        <w:numPr>
          <w:ilvl w:val="0"/>
          <w:numId w:val="8"/>
        </w:numPr>
        <w:jc w:val="both"/>
      </w:pPr>
      <w:r w:rsidRPr="00CB687E">
        <w:t>$28,218.56 in damages in lost wages;</w:t>
      </w:r>
    </w:p>
    <w:p w14:paraId="27F31F61" w14:textId="77777777" w:rsidR="00505F37" w:rsidRPr="00CB687E" w:rsidRDefault="00505F37" w:rsidP="00505F37">
      <w:pPr>
        <w:pStyle w:val="ListParagraph"/>
        <w:numPr>
          <w:ilvl w:val="0"/>
          <w:numId w:val="8"/>
        </w:numPr>
        <w:jc w:val="both"/>
      </w:pPr>
      <w:r w:rsidRPr="00CB687E">
        <w:t>Completion of sexual harassment prevention training; and</w:t>
      </w:r>
    </w:p>
    <w:p w14:paraId="3507A75A" w14:textId="77777777" w:rsidR="00505F37" w:rsidRPr="00CB687E" w:rsidRDefault="00505F37" w:rsidP="00505F37">
      <w:pPr>
        <w:pStyle w:val="ListParagraph"/>
        <w:numPr>
          <w:ilvl w:val="0"/>
          <w:numId w:val="8"/>
        </w:numPr>
        <w:jc w:val="both"/>
      </w:pPr>
      <w:r w:rsidRPr="00CB687E">
        <w:t>Development of a new sexual harassment office policy.</w:t>
      </w:r>
    </w:p>
    <w:p w14:paraId="01ABFCBE" w14:textId="77777777" w:rsidR="00505F37" w:rsidRPr="00CB687E" w:rsidRDefault="00505F37" w:rsidP="00505F37">
      <w:pPr>
        <w:pStyle w:val="Heading4"/>
        <w:jc w:val="both"/>
      </w:pPr>
      <w:r w:rsidRPr="00CB687E">
        <w:t>HRTO finds Sexual Harassment of Executive Assistant led to a Toxic Work Environment</w:t>
      </w:r>
    </w:p>
    <w:p w14:paraId="3E0BBEB8" w14:textId="77777777" w:rsidR="00505F37" w:rsidRPr="00CB687E" w:rsidRDefault="00505F37" w:rsidP="00505F37">
      <w:pPr>
        <w:pStyle w:val="NoSpacing"/>
        <w:spacing w:before="240"/>
        <w:jc w:val="both"/>
        <w:rPr>
          <w:b/>
          <w:bCs/>
          <w:color w:val="747474" w:themeColor="background2" w:themeShade="80"/>
          <w:lang w:val="en-CA"/>
        </w:rPr>
      </w:pPr>
      <w:r w:rsidRPr="00CB687E">
        <w:rPr>
          <w:b/>
          <w:bCs/>
          <w:color w:val="747474" w:themeColor="background2" w:themeShade="80"/>
          <w:lang w:val="en-CA"/>
        </w:rPr>
        <w:t>Employment/sexual harassment, sexual solicitations and advances</w:t>
      </w:r>
    </w:p>
    <w:p w14:paraId="63A06D70" w14:textId="77777777" w:rsidR="00505F37" w:rsidRPr="00CB687E" w:rsidRDefault="00505F37" w:rsidP="00505F37">
      <w:pPr>
        <w:pStyle w:val="NoSpacing"/>
        <w:spacing w:after="240"/>
        <w:jc w:val="both"/>
        <w:rPr>
          <w:lang w:val="en-CA"/>
        </w:rPr>
      </w:pPr>
      <w:r w:rsidRPr="00CB687E">
        <w:rPr>
          <w:i/>
          <w:iCs/>
          <w:lang w:val="en-CA"/>
        </w:rPr>
        <w:t xml:space="preserve">More v. Shared Workspace Incorporation, </w:t>
      </w:r>
      <w:hyperlink r:id="rId31" w:history="1">
        <w:r w:rsidRPr="00CB687E">
          <w:rPr>
            <w:rStyle w:val="Hyperlink"/>
            <w:i/>
            <w:iCs/>
            <w:lang w:val="en-CA"/>
          </w:rPr>
          <w:t>2025 HRTO 681</w:t>
        </w:r>
      </w:hyperlink>
    </w:p>
    <w:p w14:paraId="1C93554E" w14:textId="77777777" w:rsidR="00505F37" w:rsidRPr="00CB687E" w:rsidRDefault="00505F37" w:rsidP="00505F37">
      <w:pPr>
        <w:jc w:val="both"/>
      </w:pPr>
      <w:r w:rsidRPr="00CB687E">
        <w:t>An executive assistant to a CEO was awarded general damages after the HRTO found that she had been sexually harassed in the workplace.</w:t>
      </w:r>
    </w:p>
    <w:p w14:paraId="5B3C4F3A" w14:textId="77777777" w:rsidR="00505F37" w:rsidRPr="00CB687E" w:rsidRDefault="00505F37" w:rsidP="00505F37">
      <w:pPr>
        <w:jc w:val="both"/>
      </w:pPr>
      <w:r w:rsidRPr="00CB687E">
        <w:t>The CEO had requested that the applicant go shopping for clothing with him that “accentuated her body.” This shopping included unwanted comments from the personal respondent about the applicant’s body. He also took the applicant to isolated areas in their workplace and asked intrusive, sexually explicit questions, including whether she had ever been raped.</w:t>
      </w:r>
    </w:p>
    <w:p w14:paraId="33B83F42" w14:textId="77777777" w:rsidR="00505F37" w:rsidRPr="00CB687E" w:rsidRDefault="00505F37" w:rsidP="00505F37">
      <w:pPr>
        <w:jc w:val="both"/>
      </w:pPr>
      <w:r w:rsidRPr="00CB687E">
        <w:t xml:space="preserve">This treatment culminated in unwanted touching and personal respondent’s alleged desire for a “more personal level of a relationship” and asking the applicant to kiss him </w:t>
      </w:r>
      <w:r w:rsidRPr="00CB687E">
        <w:lastRenderedPageBreak/>
        <w:t>on the cheek. When the applicant refused this advance, the personal respondent sent her to move furniture.</w:t>
      </w:r>
    </w:p>
    <w:p w14:paraId="3E5FA2FD" w14:textId="77777777" w:rsidR="00505F37" w:rsidRPr="00CB687E" w:rsidRDefault="00505F37" w:rsidP="00505F37">
      <w:pPr>
        <w:jc w:val="both"/>
      </w:pPr>
      <w:r w:rsidRPr="00CB687E">
        <w:t>The applicant resigned from her position and left feeling less confident and differently about herself. She avoided applying for jobs at male-run or led workplaces.</w:t>
      </w:r>
    </w:p>
    <w:p w14:paraId="75FC9FD8" w14:textId="77777777" w:rsidR="00505F37" w:rsidRPr="00CB687E" w:rsidRDefault="00505F37" w:rsidP="00505F37">
      <w:pPr>
        <w:jc w:val="both"/>
      </w:pPr>
      <w:r w:rsidRPr="00CB687E">
        <w:t xml:space="preserve">The HRTO found that the personal respondent sexually harassed the applicant in the workplace and created a poisoned work environment. </w:t>
      </w:r>
    </w:p>
    <w:p w14:paraId="778D1CCC" w14:textId="77777777" w:rsidR="00505F37" w:rsidRPr="00CB687E" w:rsidRDefault="00505F37" w:rsidP="00505F37">
      <w:pPr>
        <w:jc w:val="both"/>
      </w:pPr>
      <w:r w:rsidRPr="00CB687E">
        <w:t>The HRTO ordered the applicant be paid $16,500 in damages for injury to dignity and mental distress.</w:t>
      </w:r>
    </w:p>
    <w:p w14:paraId="7B96BDB5" w14:textId="77777777" w:rsidR="00505F37" w:rsidRPr="00CB687E" w:rsidRDefault="00505F37" w:rsidP="00505F37">
      <w:pPr>
        <w:pStyle w:val="Heading3"/>
        <w:jc w:val="both"/>
      </w:pPr>
      <w:bookmarkStart w:id="70" w:name="_Toc201323043"/>
      <w:bookmarkStart w:id="71" w:name="_Toc201753995"/>
      <w:bookmarkStart w:id="72" w:name="_Toc204090271"/>
      <w:r w:rsidRPr="00CB687E">
        <w:t>4.1.3 Early Dispute Resolution Interventions</w:t>
      </w:r>
      <w:bookmarkEnd w:id="70"/>
      <w:bookmarkEnd w:id="71"/>
      <w:bookmarkEnd w:id="72"/>
    </w:p>
    <w:p w14:paraId="60F8D5D8" w14:textId="5EF3C8DC" w:rsidR="00505F37" w:rsidRPr="00CB687E" w:rsidRDefault="009D6FCD" w:rsidP="00505F37">
      <w:pPr>
        <w:pStyle w:val="Heading4"/>
        <w:jc w:val="both"/>
      </w:pPr>
      <w:r w:rsidRPr="00CB687E">
        <w:t>Splitting Rent Subsidy to Accommodate Tenant’s Disabilities</w:t>
      </w:r>
    </w:p>
    <w:p w14:paraId="45309A82" w14:textId="77777777" w:rsidR="00505F37" w:rsidRPr="00CB687E" w:rsidRDefault="00505F37" w:rsidP="00505F37">
      <w:pPr>
        <w:pStyle w:val="NoSpacing"/>
        <w:spacing w:before="240" w:after="240"/>
        <w:jc w:val="both"/>
        <w:rPr>
          <w:b/>
          <w:bCs/>
          <w:color w:val="747474" w:themeColor="background2" w:themeShade="80"/>
          <w:lang w:val="en-CA"/>
        </w:rPr>
      </w:pPr>
      <w:r w:rsidRPr="00CB687E">
        <w:rPr>
          <w:b/>
          <w:bCs/>
          <w:color w:val="747474" w:themeColor="background2" w:themeShade="80"/>
          <w:lang w:val="en-CA"/>
        </w:rPr>
        <w:t>Housing/disability</w:t>
      </w:r>
    </w:p>
    <w:p w14:paraId="74A43B4D" w14:textId="77777777" w:rsidR="00505F37" w:rsidRPr="00CB687E" w:rsidRDefault="00505F37" w:rsidP="00505F37">
      <w:pPr>
        <w:spacing w:before="120" w:after="0" w:line="276" w:lineRule="auto"/>
        <w:jc w:val="both"/>
        <w:rPr>
          <w:rFonts w:cstheme="minorHAnsi"/>
          <w:bCs/>
        </w:rPr>
      </w:pPr>
      <w:r w:rsidRPr="00CB687E">
        <w:rPr>
          <w:rFonts w:cstheme="minorHAnsi"/>
          <w:bCs/>
        </w:rPr>
        <w:t>An Ontario housing provider agreed to accommodate the adult daughter of a disabled senior in a separate unit, despite initially denying the request, after the HRLSC assisted in drafting and filing an application at the HRTO.</w:t>
      </w:r>
    </w:p>
    <w:p w14:paraId="5B83DD27" w14:textId="77777777" w:rsidR="00505F37" w:rsidRPr="00CB687E" w:rsidRDefault="00505F37" w:rsidP="00505F37">
      <w:pPr>
        <w:spacing w:before="120" w:after="0" w:line="276" w:lineRule="auto"/>
        <w:jc w:val="both"/>
        <w:rPr>
          <w:rFonts w:cstheme="minorHAnsi"/>
          <w:bCs/>
        </w:rPr>
      </w:pPr>
      <w:r w:rsidRPr="00CB687E">
        <w:rPr>
          <w:rFonts w:cstheme="minorHAnsi"/>
          <w:bCs/>
        </w:rPr>
        <w:t xml:space="preserve">The HRLSC’s client was a senior with multiple disabilities. Since 2009, she had lived with her adult daughter, who was her caregiver and assisted her with everyday activities. She and her daughter were treated as a single household for the purposes of their rent-geared-to-income (RGI) housing subsidy. </w:t>
      </w:r>
    </w:p>
    <w:p w14:paraId="6CC7F576" w14:textId="496D8BAB" w:rsidR="00505F37" w:rsidRPr="00CB687E" w:rsidRDefault="00313D51" w:rsidP="00505F37">
      <w:pPr>
        <w:spacing w:before="120" w:line="276" w:lineRule="auto"/>
        <w:jc w:val="both"/>
        <w:rPr>
          <w:rFonts w:cstheme="minorHAnsi"/>
          <w:bCs/>
        </w:rPr>
      </w:pPr>
      <w:r w:rsidRPr="00CB687E">
        <w:rPr>
          <w:rFonts w:cstheme="minorHAnsi"/>
          <w:bCs/>
        </w:rPr>
        <w:t xml:space="preserve"> This arrangement worked until the family grew, and it was no longer feasible for the applicant to reside in the same house.</w:t>
      </w:r>
    </w:p>
    <w:p w14:paraId="4E2096F8" w14:textId="77777777" w:rsidR="00505F37" w:rsidRPr="00CB687E" w:rsidRDefault="00505F37" w:rsidP="00505F37">
      <w:pPr>
        <w:jc w:val="both"/>
        <w:rPr>
          <w:rFonts w:cstheme="minorHAnsi"/>
          <w:bCs/>
        </w:rPr>
      </w:pPr>
      <w:r w:rsidRPr="00CB687E">
        <w:rPr>
          <w:rFonts w:cstheme="minorHAnsi"/>
          <w:bCs/>
        </w:rPr>
        <w:t xml:space="preserve">The applicant asked her housing provider for a transfer on an urgent basis to a separate unit in the same building, so that the applicant’s daughter could still assist the applicant with daily living. The housing provider denied the request and stated they were unable to split their tenancy. </w:t>
      </w:r>
    </w:p>
    <w:p w14:paraId="458CB22B" w14:textId="041DEA6F" w:rsidR="005B5BFE" w:rsidRDefault="00505F37" w:rsidP="00E669EB">
      <w:pPr>
        <w:jc w:val="both"/>
        <w:rPr>
          <w:rFonts w:cstheme="minorHAnsi"/>
          <w:bCs/>
        </w:rPr>
      </w:pPr>
      <w:r w:rsidRPr="00CB687E">
        <w:rPr>
          <w:rFonts w:cstheme="minorHAnsi"/>
          <w:bCs/>
        </w:rPr>
        <w:t>After the HRLSC assisted the applicant in drafting and filing an application to the HRTO the housing provider agreed to split the RGI tenancy and allow the applicant to move to another unit in the same building as her daughter.</w:t>
      </w:r>
    </w:p>
    <w:p w14:paraId="17110C9F" w14:textId="3D9921EC" w:rsidR="00B75CE6" w:rsidRDefault="005B5BFE" w:rsidP="005B5BFE">
      <w:pPr>
        <w:rPr>
          <w:rFonts w:cstheme="minorHAnsi"/>
          <w:bCs/>
        </w:rPr>
      </w:pPr>
      <w:r>
        <w:rPr>
          <w:rFonts w:cstheme="minorHAnsi"/>
          <w:bCs/>
        </w:rPr>
        <w:br w:type="page"/>
      </w:r>
    </w:p>
    <w:p w14:paraId="38C583A3" w14:textId="77777777" w:rsidR="00505F37" w:rsidRPr="00CB687E" w:rsidRDefault="00505F37" w:rsidP="00505F37">
      <w:pPr>
        <w:pStyle w:val="Heading3"/>
        <w:jc w:val="both"/>
      </w:pPr>
      <w:bookmarkStart w:id="73" w:name="_Toc201323044"/>
      <w:bookmarkStart w:id="74" w:name="_Toc201753996"/>
      <w:bookmarkStart w:id="75" w:name="_Toc204090272"/>
      <w:r w:rsidRPr="00CB687E">
        <w:lastRenderedPageBreak/>
        <w:t>4.1.4 Settlements</w:t>
      </w:r>
      <w:bookmarkEnd w:id="73"/>
      <w:bookmarkEnd w:id="74"/>
      <w:bookmarkEnd w:id="75"/>
    </w:p>
    <w:p w14:paraId="0C57C807" w14:textId="3319DCDF" w:rsidR="00505F37" w:rsidRPr="00CB687E" w:rsidRDefault="72FE0498" w:rsidP="00505F37">
      <w:pPr>
        <w:pStyle w:val="Heading4"/>
        <w:jc w:val="both"/>
      </w:pPr>
      <w:r>
        <w:t>Settlement Reached after Workplace Sexual Assault</w:t>
      </w:r>
    </w:p>
    <w:p w14:paraId="1EA176C8" w14:textId="77777777" w:rsidR="00505F37" w:rsidRPr="00CB687E" w:rsidRDefault="00505F37" w:rsidP="00505F37">
      <w:pPr>
        <w:spacing w:before="120" w:after="120" w:line="276" w:lineRule="auto"/>
        <w:jc w:val="both"/>
        <w:rPr>
          <w:rFonts w:cstheme="minorHAnsi"/>
          <w:b/>
          <w:color w:val="747474" w:themeColor="background2" w:themeShade="80"/>
        </w:rPr>
      </w:pPr>
      <w:r w:rsidRPr="00CB687E">
        <w:rPr>
          <w:rFonts w:cstheme="minorHAnsi"/>
          <w:b/>
          <w:color w:val="747474" w:themeColor="background2" w:themeShade="80"/>
        </w:rPr>
        <w:t>Employment/sexual harassment, sexual solicitations and advances</w:t>
      </w:r>
    </w:p>
    <w:p w14:paraId="3356A003" w14:textId="77777777" w:rsidR="00505F37" w:rsidRPr="00CB687E" w:rsidRDefault="00505F37" w:rsidP="00505F37">
      <w:pPr>
        <w:jc w:val="both"/>
        <w:rPr>
          <w:rFonts w:cstheme="minorHAnsi"/>
          <w:bCs/>
        </w:rPr>
      </w:pPr>
      <w:r w:rsidRPr="00CB687E">
        <w:rPr>
          <w:rFonts w:cstheme="minorHAnsi"/>
          <w:bCs/>
        </w:rPr>
        <w:t>The HRLSC’s client was sexually assaulted by her supervisor at work. As a result of the assault, she was forced to go on sick leave. She received WSIB benefits during her leave, which were much less than her regular wages.</w:t>
      </w:r>
    </w:p>
    <w:p w14:paraId="1D456643" w14:textId="77777777" w:rsidR="00505F37" w:rsidRPr="00CB687E" w:rsidRDefault="00505F37" w:rsidP="00505F37">
      <w:pPr>
        <w:jc w:val="both"/>
        <w:rPr>
          <w:rFonts w:cstheme="minorHAnsi"/>
          <w:bCs/>
        </w:rPr>
      </w:pPr>
      <w:r w:rsidRPr="00CB687E">
        <w:rPr>
          <w:rFonts w:cstheme="minorHAnsi"/>
          <w:bCs/>
        </w:rPr>
        <w:t>A settlement was reached that includes financial compensation from the employer.</w:t>
      </w:r>
    </w:p>
    <w:p w14:paraId="0A70E3A5" w14:textId="77777777" w:rsidR="00505F37" w:rsidRPr="00CB687E" w:rsidRDefault="00505F37" w:rsidP="00505F37">
      <w:pPr>
        <w:jc w:val="both"/>
        <w:rPr>
          <w:rFonts w:cstheme="minorHAnsi"/>
          <w:bCs/>
        </w:rPr>
      </w:pPr>
      <w:r w:rsidRPr="00CB687E">
        <w:rPr>
          <w:rFonts w:cstheme="minorHAnsi"/>
          <w:bCs/>
        </w:rPr>
        <w:t>The HRTO matter is proceeding against the individual supervisor, who did not participate in the mediation.</w:t>
      </w:r>
    </w:p>
    <w:p w14:paraId="27D9F979" w14:textId="15AFA989" w:rsidR="00505F37" w:rsidRPr="00CB687E" w:rsidRDefault="72FE0498" w:rsidP="00505F37">
      <w:pPr>
        <w:pStyle w:val="Heading4"/>
        <w:jc w:val="both"/>
      </w:pPr>
      <w:r>
        <w:t xml:space="preserve">Settlement </w:t>
      </w:r>
      <w:r w:rsidR="5C48DF03">
        <w:t xml:space="preserve">Reached </w:t>
      </w:r>
      <w:r>
        <w:t xml:space="preserve">after Employee Made to Work under Manager who Sexually Harassed </w:t>
      </w:r>
      <w:r w:rsidR="5C48DF03">
        <w:t>H</w:t>
      </w:r>
      <w:r>
        <w:t>er</w:t>
      </w:r>
    </w:p>
    <w:p w14:paraId="70446A33" w14:textId="77777777" w:rsidR="00505F37" w:rsidRPr="00CB687E" w:rsidRDefault="00505F37" w:rsidP="00505F37">
      <w:pPr>
        <w:pStyle w:val="NoSpacing"/>
        <w:spacing w:before="240" w:after="240"/>
        <w:jc w:val="both"/>
        <w:rPr>
          <w:b/>
          <w:bCs/>
          <w:color w:val="747474" w:themeColor="background2" w:themeShade="80"/>
          <w:lang w:val="en-CA"/>
        </w:rPr>
      </w:pPr>
      <w:r w:rsidRPr="00CB687E">
        <w:rPr>
          <w:b/>
          <w:bCs/>
          <w:color w:val="747474" w:themeColor="background2" w:themeShade="80"/>
          <w:lang w:val="en-CA"/>
        </w:rPr>
        <w:t>Employment/sexual harassment, sexual solicitations and advances</w:t>
      </w:r>
    </w:p>
    <w:p w14:paraId="0BAB1F2A" w14:textId="77777777" w:rsidR="00505F37" w:rsidRPr="00CB687E" w:rsidRDefault="00505F37" w:rsidP="00505F37">
      <w:pPr>
        <w:spacing w:before="120" w:after="120" w:line="276" w:lineRule="auto"/>
        <w:jc w:val="both"/>
        <w:rPr>
          <w:rFonts w:cstheme="minorHAnsi"/>
          <w:bCs/>
        </w:rPr>
      </w:pPr>
      <w:r w:rsidRPr="00CB687E">
        <w:rPr>
          <w:rFonts w:cstheme="minorHAnsi"/>
          <w:bCs/>
        </w:rPr>
        <w:t xml:space="preserve">An employee experienced repeated sexual harassment and solicitation from her manager. She complained to the respondent about her manager’s conduct. </w:t>
      </w:r>
    </w:p>
    <w:p w14:paraId="3ED752D1" w14:textId="77777777" w:rsidR="00505F37" w:rsidRPr="00CB687E" w:rsidRDefault="00505F37" w:rsidP="00505F37">
      <w:pPr>
        <w:spacing w:before="120" w:after="120" w:line="276" w:lineRule="auto"/>
        <w:jc w:val="both"/>
        <w:rPr>
          <w:rFonts w:cstheme="minorHAnsi"/>
          <w:bCs/>
        </w:rPr>
      </w:pPr>
      <w:r w:rsidRPr="00CB687E">
        <w:rPr>
          <w:rFonts w:cstheme="minorHAnsi"/>
          <w:bCs/>
        </w:rPr>
        <w:t xml:space="preserve">The respondent investigated and advised that the manager had been disciplined. However, the applicant was still required to work with this manager after the complaint. The applicant was later offered a transfer to another location, but she declined as she believed it was an attempt to silence her. </w:t>
      </w:r>
    </w:p>
    <w:p w14:paraId="6590FD7B" w14:textId="77777777" w:rsidR="00505F37" w:rsidRPr="00CB687E" w:rsidRDefault="00505F37" w:rsidP="00505F37">
      <w:pPr>
        <w:jc w:val="both"/>
        <w:rPr>
          <w:rFonts w:cstheme="minorHAnsi"/>
          <w:bCs/>
        </w:rPr>
      </w:pPr>
      <w:r w:rsidRPr="00CB687E">
        <w:rPr>
          <w:rFonts w:cstheme="minorHAnsi"/>
          <w:bCs/>
        </w:rPr>
        <w:t>With the help of the HRLSC, a settlement was reached that includes:</w:t>
      </w:r>
    </w:p>
    <w:p w14:paraId="0659448F" w14:textId="77777777" w:rsidR="00505F37" w:rsidRPr="00CB687E" w:rsidRDefault="00505F37" w:rsidP="00505F37">
      <w:pPr>
        <w:numPr>
          <w:ilvl w:val="0"/>
          <w:numId w:val="10"/>
        </w:numPr>
        <w:spacing w:before="120" w:after="120" w:line="276" w:lineRule="auto"/>
        <w:jc w:val="both"/>
        <w:rPr>
          <w:rFonts w:cstheme="minorHAnsi"/>
          <w:bCs/>
        </w:rPr>
      </w:pPr>
      <w:r w:rsidRPr="00CB687E">
        <w:rPr>
          <w:rFonts w:cstheme="minorHAnsi"/>
          <w:bCs/>
        </w:rPr>
        <w:t>financial compensation;</w:t>
      </w:r>
    </w:p>
    <w:p w14:paraId="29A7D281" w14:textId="77777777" w:rsidR="00505F37" w:rsidRPr="00CB687E" w:rsidRDefault="00505F37" w:rsidP="00505F37">
      <w:pPr>
        <w:numPr>
          <w:ilvl w:val="0"/>
          <w:numId w:val="10"/>
        </w:numPr>
        <w:spacing w:before="120" w:after="120" w:line="276" w:lineRule="auto"/>
        <w:jc w:val="both"/>
        <w:rPr>
          <w:rFonts w:cstheme="minorHAnsi"/>
          <w:bCs/>
        </w:rPr>
      </w:pPr>
      <w:r w:rsidRPr="00CB687E">
        <w:rPr>
          <w:rFonts w:cstheme="minorHAnsi"/>
          <w:bCs/>
        </w:rPr>
        <w:t>providing updated record of employment so that she can obtain social security benefits; and</w:t>
      </w:r>
    </w:p>
    <w:p w14:paraId="2DD8D808" w14:textId="4011B09C" w:rsidR="005B5BFE" w:rsidRPr="00CB687E" w:rsidRDefault="00505F37" w:rsidP="005B5BFE">
      <w:pPr>
        <w:pStyle w:val="ListParagraph"/>
        <w:numPr>
          <w:ilvl w:val="0"/>
          <w:numId w:val="10"/>
        </w:numPr>
        <w:jc w:val="both"/>
      </w:pPr>
      <w:r w:rsidRPr="00CB687E">
        <w:rPr>
          <w:rFonts w:cstheme="minorHAnsi"/>
          <w:bCs/>
        </w:rPr>
        <w:t>an agreement to end her employment.</w:t>
      </w:r>
    </w:p>
    <w:p w14:paraId="03C576B9" w14:textId="1B4082ED" w:rsidR="00505F37" w:rsidRPr="00CB687E" w:rsidRDefault="72FE0498" w:rsidP="00505F37">
      <w:pPr>
        <w:pStyle w:val="Heading4"/>
        <w:jc w:val="both"/>
      </w:pPr>
      <w:r>
        <w:t>Settlement for Workplace Inaction on Anti-Indigenous “</w:t>
      </w:r>
      <w:r w:rsidR="1F9F3159">
        <w:t>N</w:t>
      </w:r>
      <w:r>
        <w:t>ickname”</w:t>
      </w:r>
    </w:p>
    <w:p w14:paraId="496856D2" w14:textId="77777777" w:rsidR="00505F37" w:rsidRPr="00CB687E" w:rsidRDefault="00505F37" w:rsidP="00505F37">
      <w:pPr>
        <w:spacing w:before="240"/>
        <w:jc w:val="both"/>
        <w:rPr>
          <w:b/>
          <w:bCs/>
          <w:color w:val="747474" w:themeColor="background2" w:themeShade="80"/>
        </w:rPr>
      </w:pPr>
      <w:r w:rsidRPr="00CB687E">
        <w:rPr>
          <w:b/>
          <w:bCs/>
          <w:color w:val="747474" w:themeColor="background2" w:themeShade="80"/>
        </w:rPr>
        <w:t>Employment/ancestry and related grounds (anti-Indigenous discrimination)</w:t>
      </w:r>
    </w:p>
    <w:p w14:paraId="42D7984C" w14:textId="151F8A4F" w:rsidR="00505F37" w:rsidRPr="00CB687E" w:rsidRDefault="006B20DD" w:rsidP="00505F37">
      <w:pPr>
        <w:jc w:val="both"/>
        <w:rPr>
          <w:rFonts w:cstheme="minorHAnsi"/>
          <w:color w:val="000000"/>
        </w:rPr>
      </w:pPr>
      <w:r w:rsidRPr="006B20DD">
        <w:rPr>
          <w:rFonts w:cstheme="minorHAnsi"/>
          <w:color w:val="000000"/>
        </w:rPr>
        <w:t xml:space="preserve">The HRLSC’s client, </w:t>
      </w:r>
      <w:r w:rsidRPr="006B20DD">
        <w:rPr>
          <w:rFonts w:cstheme="minorHAnsi"/>
          <w:color w:val="000000"/>
          <w:lang w:val="en-US"/>
        </w:rPr>
        <w:t>an Indigenous woman, alleged that she was subjected to repeated Indigenous racial slurs by a co-worker</w:t>
      </w:r>
      <w:r>
        <w:rPr>
          <w:rFonts w:cstheme="minorHAnsi"/>
          <w:color w:val="000000"/>
          <w:lang w:val="en-US"/>
        </w:rPr>
        <w:t>.</w:t>
      </w:r>
      <w:r>
        <w:rPr>
          <w:rFonts w:cstheme="minorHAnsi"/>
          <w:color w:val="000000"/>
        </w:rPr>
        <w:t xml:space="preserve"> </w:t>
      </w:r>
      <w:r w:rsidR="00505F37" w:rsidRPr="00CB687E">
        <w:rPr>
          <w:rFonts w:cstheme="minorHAnsi"/>
          <w:color w:val="000000"/>
        </w:rPr>
        <w:t xml:space="preserve">Their workplace downplayed complaints about </w:t>
      </w:r>
      <w:r w:rsidR="00505F37" w:rsidRPr="00CB687E">
        <w:rPr>
          <w:rFonts w:cstheme="minorHAnsi"/>
          <w:color w:val="000000"/>
        </w:rPr>
        <w:lastRenderedPageBreak/>
        <w:t xml:space="preserve">her co-worker’s "nickname." The client’s workplace also allegedly claimed they were hesitant to discipline her for this activity. </w:t>
      </w:r>
    </w:p>
    <w:p w14:paraId="63FA6590" w14:textId="77777777" w:rsidR="00505F37" w:rsidRPr="00CB687E" w:rsidRDefault="00505F37" w:rsidP="00505F37">
      <w:pPr>
        <w:jc w:val="both"/>
        <w:rPr>
          <w:rFonts w:cstheme="minorHAnsi"/>
          <w:color w:val="000000"/>
        </w:rPr>
      </w:pPr>
      <w:r w:rsidRPr="00CB687E">
        <w:rPr>
          <w:rFonts w:cstheme="minorHAnsi"/>
          <w:color w:val="000000"/>
        </w:rPr>
        <w:t xml:space="preserve">A settlement was reached that included financial compensation. </w:t>
      </w:r>
    </w:p>
    <w:p w14:paraId="181729DE" w14:textId="24DBB1CB" w:rsidR="00505F37" w:rsidRPr="00CB687E" w:rsidRDefault="72FE0498" w:rsidP="00505F37">
      <w:pPr>
        <w:pStyle w:val="Heading4"/>
        <w:jc w:val="both"/>
      </w:pPr>
      <w:r>
        <w:t xml:space="preserve">Settlement after Indigenous Man Accused of Shoplifting </w:t>
      </w:r>
      <w:r w:rsidR="620D01A5">
        <w:t>H</w:t>
      </w:r>
      <w:r>
        <w:t xml:space="preserve">is own </w:t>
      </w:r>
      <w:r w:rsidR="64DC2451">
        <w:t>J</w:t>
      </w:r>
      <w:r>
        <w:t>acket</w:t>
      </w:r>
    </w:p>
    <w:p w14:paraId="4BADFA59" w14:textId="484B93A2" w:rsidR="00505F37" w:rsidRPr="00CB687E" w:rsidRDefault="00505F37" w:rsidP="00505F37">
      <w:pPr>
        <w:spacing w:before="240"/>
        <w:jc w:val="both"/>
        <w:rPr>
          <w:b/>
          <w:bCs/>
          <w:color w:val="747474" w:themeColor="background2" w:themeShade="80"/>
        </w:rPr>
      </w:pPr>
      <w:r w:rsidRPr="00CB687E">
        <w:rPr>
          <w:b/>
          <w:bCs/>
          <w:color w:val="747474" w:themeColor="background2" w:themeShade="80"/>
        </w:rPr>
        <w:t>Services, goods and facilities/ancestry and related grounds (anti-Indigenous discrimination)</w:t>
      </w:r>
    </w:p>
    <w:p w14:paraId="6C69F3DB" w14:textId="77777777" w:rsidR="00505F37" w:rsidRPr="00CB687E" w:rsidRDefault="00505F37" w:rsidP="00505F37">
      <w:pPr>
        <w:jc w:val="both"/>
      </w:pPr>
      <w:r w:rsidRPr="00CB687E">
        <w:t>The HRLSC’s client, an Indigenous man was followed by sales staff throughout a store while shopping for clothes. He was eventually accused of stealing a jacket, which he had in fact purchased two years earlier from the store.</w:t>
      </w:r>
    </w:p>
    <w:p w14:paraId="37BD1C5C" w14:textId="77777777" w:rsidR="00505F37" w:rsidRPr="00CB687E" w:rsidRDefault="00505F37" w:rsidP="00505F37">
      <w:pPr>
        <w:jc w:val="both"/>
      </w:pPr>
      <w:r w:rsidRPr="00CB687E">
        <w:t>A settlement was reached that included financial compensation.</w:t>
      </w:r>
    </w:p>
    <w:p w14:paraId="6CF5BC60" w14:textId="2074332B" w:rsidR="00505F37" w:rsidRPr="00CB687E" w:rsidRDefault="72FE0498" w:rsidP="00505F37">
      <w:pPr>
        <w:pStyle w:val="Heading4"/>
        <w:jc w:val="both"/>
      </w:pPr>
      <w:r>
        <w:t>Settlement after Dealership Refuses to Sell Car over Status Card and Cash Purchase</w:t>
      </w:r>
    </w:p>
    <w:p w14:paraId="2A48AF9A" w14:textId="77777777" w:rsidR="00505F37" w:rsidRPr="00CB687E" w:rsidRDefault="00505F37" w:rsidP="00505F37">
      <w:pPr>
        <w:spacing w:before="240"/>
        <w:jc w:val="both"/>
        <w:rPr>
          <w:b/>
          <w:bCs/>
          <w:color w:val="747474" w:themeColor="background2" w:themeShade="80"/>
        </w:rPr>
      </w:pPr>
      <w:r w:rsidRPr="00CB687E">
        <w:rPr>
          <w:b/>
          <w:bCs/>
          <w:color w:val="747474" w:themeColor="background2" w:themeShade="80"/>
        </w:rPr>
        <w:t>Services, goods and facilities/ancestry and related grounds (anti-Indigenous discrimination)</w:t>
      </w:r>
    </w:p>
    <w:p w14:paraId="4185832F" w14:textId="752B0168" w:rsidR="00505F37" w:rsidRPr="00CB687E" w:rsidRDefault="00505F37" w:rsidP="00505F37">
      <w:pPr>
        <w:jc w:val="both"/>
      </w:pPr>
      <w:r w:rsidRPr="00CB687E">
        <w:t>The HRLSC’s client went to purchase a car.</w:t>
      </w:r>
      <w:r w:rsidR="00A6779D">
        <w:t xml:space="preserve"> </w:t>
      </w:r>
      <w:r w:rsidRPr="00CB687E">
        <w:rPr>
          <w:color w:val="000000"/>
        </w:rPr>
        <w:t>After several weeks of negotiation over the phone</w:t>
      </w:r>
      <w:r w:rsidRPr="00CB687E">
        <w:t xml:space="preserve"> the car dealership agreed to sell him a car. However, the dealership then refused to sell a car after the applicant showed them his status card and asked to pay the dealership in cash. The dealership claimed they had an "export checklist" to prevent the illegal resale and export of vehicles.</w:t>
      </w:r>
    </w:p>
    <w:p w14:paraId="0A36ECB5" w14:textId="344A6049" w:rsidR="009E4980" w:rsidRPr="00CB687E" w:rsidRDefault="00505F37" w:rsidP="000935EB">
      <w:pPr>
        <w:jc w:val="both"/>
      </w:pPr>
      <w:r w:rsidRPr="00CB687E">
        <w:t>A settlement was reached that included financial compensation.</w:t>
      </w:r>
    </w:p>
    <w:p w14:paraId="6895F656" w14:textId="1CCD2532" w:rsidR="009E4980" w:rsidRPr="00CB687E" w:rsidRDefault="009E4980" w:rsidP="00FB4BC5">
      <w:pPr>
        <w:pStyle w:val="Heading3"/>
        <w:jc w:val="both"/>
      </w:pPr>
      <w:bookmarkStart w:id="76" w:name="_Toc204090273"/>
      <w:r w:rsidRPr="00CB687E">
        <w:t>4.1.5 Enforcement</w:t>
      </w:r>
      <w:bookmarkEnd w:id="76"/>
      <w:r w:rsidRPr="00CB687E">
        <w:t xml:space="preserve"> </w:t>
      </w:r>
    </w:p>
    <w:p w14:paraId="51F028E7" w14:textId="77777777" w:rsidR="00FB4BC5" w:rsidRPr="00CB687E" w:rsidRDefault="00FB4BC5" w:rsidP="008F78C6">
      <w:pPr>
        <w:pStyle w:val="Heading4"/>
        <w:jc w:val="both"/>
      </w:pPr>
      <w:r w:rsidRPr="00CB687E">
        <w:t>HRLSC Collects for Client in Long Standing Enforcement of Breach of Settlement Application</w:t>
      </w:r>
    </w:p>
    <w:p w14:paraId="055E1A23" w14:textId="04EF1810" w:rsidR="00FB4BC5" w:rsidRPr="00CB687E" w:rsidRDefault="00FB4BC5" w:rsidP="00FB4BC5">
      <w:pPr>
        <w:jc w:val="both"/>
        <w:rPr>
          <w:b/>
          <w:bCs/>
        </w:rPr>
      </w:pPr>
      <w:r w:rsidRPr="00CB687E">
        <w:t>In</w:t>
      </w:r>
      <w:r w:rsidRPr="00CB687E">
        <w:rPr>
          <w:b/>
          <w:bCs/>
          <w:i/>
          <w:iCs/>
        </w:rPr>
        <w:t xml:space="preserve"> Allen v. 2297970 Ontario Inc., operating as LTP Financial,</w:t>
      </w:r>
      <w:r w:rsidRPr="00CB687E">
        <w:rPr>
          <w:b/>
          <w:bCs/>
        </w:rPr>
        <w:t xml:space="preserve"> 2016 HRTO 1616</w:t>
      </w:r>
      <w:r w:rsidRPr="00CB687E">
        <w:t xml:space="preserve">, the parties to the application settled their matter at the HRTO in December 2015. Subsequently, the applicant filed a contravention of settlement under the </w:t>
      </w:r>
      <w:r w:rsidRPr="00CB687E">
        <w:rPr>
          <w:i/>
          <w:iCs/>
        </w:rPr>
        <w:t>Code</w:t>
      </w:r>
      <w:r w:rsidRPr="00CB687E">
        <w:t xml:space="preserve"> on the grounds that the respondent failed to pay the money agreed to </w:t>
      </w:r>
      <w:r w:rsidR="00490E18" w:rsidRPr="00CB687E">
        <w:t xml:space="preserve">as part of </w:t>
      </w:r>
      <w:r w:rsidRPr="00CB687E">
        <w:t>the settlement.</w:t>
      </w:r>
    </w:p>
    <w:p w14:paraId="061D59A1" w14:textId="77777777" w:rsidR="00FB4BC5" w:rsidRPr="00CB687E" w:rsidRDefault="00FB4BC5" w:rsidP="00FB4BC5">
      <w:pPr>
        <w:jc w:val="both"/>
      </w:pPr>
      <w:r w:rsidRPr="00CB687E">
        <w:t xml:space="preserve">The applicant sought an order from the HRTO directing the respondent to pay the money owed under the settlement agreement plus additional monetary compensation for the </w:t>
      </w:r>
      <w:r w:rsidRPr="00CB687E">
        <w:lastRenderedPageBreak/>
        <w:t xml:space="preserve">alleged contravention of the agreement. The HRTO found that the respondent breached the settlement agreement. </w:t>
      </w:r>
    </w:p>
    <w:p w14:paraId="2F042FB5" w14:textId="77777777" w:rsidR="00FB4BC5" w:rsidRPr="00CB687E" w:rsidRDefault="00FB4BC5" w:rsidP="00FB4BC5">
      <w:pPr>
        <w:jc w:val="both"/>
      </w:pPr>
      <w:r w:rsidRPr="00CB687E">
        <w:t>The HRTO ordered that the respondent pay the applicant $5250.00 along with pre-judgment interest on the $4500.00 and post-judgment interest calculated on the total $5250.00.</w:t>
      </w:r>
    </w:p>
    <w:p w14:paraId="7A614BF7" w14:textId="5BED183A" w:rsidR="00FB4BC5" w:rsidRPr="00CB687E" w:rsidRDefault="00FB4BC5" w:rsidP="00FB4BC5">
      <w:pPr>
        <w:jc w:val="both"/>
      </w:pPr>
      <w:r w:rsidRPr="00CB687E">
        <w:t xml:space="preserve">In mid-2024, the HRLSC successfully enforced the HRTO order, and the applicant received payment </w:t>
      </w:r>
      <w:r w:rsidR="00F51D4D" w:rsidRPr="00CB687E">
        <w:t xml:space="preserve">from </w:t>
      </w:r>
      <w:r w:rsidRPr="00CB687E">
        <w:t xml:space="preserve">the respondent in an amount exceeding $6,000 in full satisfaction for the debt owed to the applicant under the HRTO order. </w:t>
      </w:r>
    </w:p>
    <w:p w14:paraId="01AC32AD" w14:textId="77777777" w:rsidR="00FB4BC5" w:rsidRPr="00CB687E" w:rsidRDefault="00FB4BC5" w:rsidP="008F78C6">
      <w:pPr>
        <w:pStyle w:val="Heading4"/>
        <w:jc w:val="both"/>
      </w:pPr>
      <w:r w:rsidRPr="00CB687E">
        <w:t>HRLSC Enforces HRTO Order Finding Employer Breached the Code by Creating a Poisoned Work Environment and Terminating Employment</w:t>
      </w:r>
    </w:p>
    <w:p w14:paraId="4620D8B6" w14:textId="77777777" w:rsidR="00FB4BC5" w:rsidRPr="00CB687E" w:rsidRDefault="00FB4BC5" w:rsidP="00FB4BC5">
      <w:pPr>
        <w:jc w:val="both"/>
        <w:rPr>
          <w:b/>
          <w:bCs/>
        </w:rPr>
      </w:pPr>
      <w:r w:rsidRPr="00CB687E">
        <w:rPr>
          <w:b/>
          <w:bCs/>
          <w:i/>
          <w:iCs/>
        </w:rPr>
        <w:t>In Matheus v. MLG Enterprises Limited and McCann</w:t>
      </w:r>
      <w:r w:rsidRPr="00CB687E">
        <w:rPr>
          <w:b/>
          <w:bCs/>
        </w:rPr>
        <w:t>, 2023 HRTO 77</w:t>
      </w:r>
      <w:r w:rsidRPr="00B74A3D">
        <w:t>,</w:t>
      </w:r>
      <w:r w:rsidRPr="00CB687E">
        <w:rPr>
          <w:b/>
          <w:bCs/>
        </w:rPr>
        <w:t xml:space="preserve"> </w:t>
      </w:r>
      <w:r w:rsidRPr="00CB687E">
        <w:t xml:space="preserve">the applicant alleged that the respondents discriminated against him in his employment based on race, ancestry, place of origin, and age, and that the employer reprised against him contrary to the </w:t>
      </w:r>
      <w:r w:rsidRPr="00CB687E">
        <w:rPr>
          <w:i/>
          <w:iCs/>
        </w:rPr>
        <w:t xml:space="preserve">Code </w:t>
      </w:r>
      <w:r w:rsidRPr="00CB687E">
        <w:t>by terminating his employment.</w:t>
      </w:r>
    </w:p>
    <w:p w14:paraId="75268AFE" w14:textId="77777777" w:rsidR="00FB4BC5" w:rsidRPr="00CB687E" w:rsidRDefault="00FB4BC5" w:rsidP="00FB4BC5">
      <w:pPr>
        <w:jc w:val="both"/>
      </w:pPr>
      <w:r w:rsidRPr="00CB687E">
        <w:t xml:space="preserve">The HRTO found that the employer’s comments to the applicant had created a poisoned work environment for the applicant and that the applicant’s termination was a reprisal under the </w:t>
      </w:r>
      <w:r w:rsidRPr="00CB687E">
        <w:rPr>
          <w:i/>
          <w:iCs/>
        </w:rPr>
        <w:t>Code</w:t>
      </w:r>
      <w:r w:rsidRPr="00CB687E">
        <w:t xml:space="preserve"> as the respondents’ motivation for terminating the applicant’s employment included his race, ancestry, place of origin and age.</w:t>
      </w:r>
    </w:p>
    <w:p w14:paraId="62AF310D" w14:textId="77777777" w:rsidR="00FB4BC5" w:rsidRPr="00CB687E" w:rsidRDefault="00FB4BC5" w:rsidP="00FB4BC5">
      <w:pPr>
        <w:jc w:val="both"/>
      </w:pPr>
      <w:r w:rsidRPr="00CB687E">
        <w:t>The HRTO ordered that the respondents pay:</w:t>
      </w:r>
    </w:p>
    <w:p w14:paraId="75F9A672" w14:textId="77777777" w:rsidR="00FB4BC5" w:rsidRPr="00CB687E" w:rsidRDefault="00FB4BC5" w:rsidP="00D35098">
      <w:pPr>
        <w:pStyle w:val="ListParagraph"/>
        <w:numPr>
          <w:ilvl w:val="0"/>
          <w:numId w:val="18"/>
        </w:numPr>
        <w:jc w:val="both"/>
      </w:pPr>
      <w:r w:rsidRPr="00CB687E">
        <w:t xml:space="preserve">$20,000.00 to the applicant in monetary compensation for injury to his dignity, feelings and self-respect, </w:t>
      </w:r>
    </w:p>
    <w:p w14:paraId="057364BF" w14:textId="77777777" w:rsidR="00FB4BC5" w:rsidRPr="00CB687E" w:rsidRDefault="00FB4BC5" w:rsidP="00D35098">
      <w:pPr>
        <w:pStyle w:val="ListParagraph"/>
        <w:numPr>
          <w:ilvl w:val="0"/>
          <w:numId w:val="18"/>
        </w:numPr>
        <w:jc w:val="both"/>
      </w:pPr>
      <w:r w:rsidRPr="00CB687E">
        <w:t xml:space="preserve">$8,761.15 to the applicant in respect of lost wages, </w:t>
      </w:r>
    </w:p>
    <w:p w14:paraId="36EC9448" w14:textId="77777777" w:rsidR="00FB4BC5" w:rsidRPr="00CB687E" w:rsidRDefault="00FB4BC5" w:rsidP="00D35098">
      <w:pPr>
        <w:pStyle w:val="ListParagraph"/>
        <w:numPr>
          <w:ilvl w:val="0"/>
          <w:numId w:val="18"/>
        </w:numPr>
        <w:jc w:val="both"/>
      </w:pPr>
      <w:r w:rsidRPr="00CB687E">
        <w:t xml:space="preserve">pre-judgment interest from the date of the filing of the application to the date of the HRTO decision, and </w:t>
      </w:r>
    </w:p>
    <w:p w14:paraId="2D015E08" w14:textId="31C7411D" w:rsidR="00FB4BC5" w:rsidRPr="00CB687E" w:rsidRDefault="00FB4BC5" w:rsidP="00D35098">
      <w:pPr>
        <w:pStyle w:val="ListParagraph"/>
        <w:numPr>
          <w:ilvl w:val="0"/>
          <w:numId w:val="18"/>
        </w:numPr>
        <w:jc w:val="both"/>
      </w:pPr>
      <w:r w:rsidRPr="00CB687E">
        <w:t>post-judgment interest calculated from the date that is 30 days after the date of the HRTO decision.</w:t>
      </w:r>
    </w:p>
    <w:p w14:paraId="28812483" w14:textId="3F738707" w:rsidR="00B75CE6" w:rsidRDefault="00FB4BC5" w:rsidP="00FB4BC5">
      <w:pPr>
        <w:jc w:val="both"/>
      </w:pPr>
      <w:r w:rsidRPr="00CB687E">
        <w:t>In November 2024, the HRLSC successfully enforced the HRTO order against respondent employer. The applicant received a payment of over $31,000 from the respondent in full satisfaction of the amounts owed to him under the HRTO order.</w:t>
      </w:r>
    </w:p>
    <w:p w14:paraId="4E0FEFE2" w14:textId="7B36A81D" w:rsidR="00B75CE6" w:rsidRDefault="00B75CE6"/>
    <w:p w14:paraId="2365638C" w14:textId="77777777" w:rsidR="00417BA2" w:rsidRPr="00CB687E" w:rsidRDefault="00417BA2" w:rsidP="000935EB">
      <w:pPr>
        <w:pStyle w:val="Heading2"/>
        <w:jc w:val="both"/>
      </w:pPr>
      <w:bookmarkStart w:id="77" w:name="_Toc201323045"/>
      <w:bookmarkStart w:id="78" w:name="_Toc204090274"/>
      <w:r w:rsidRPr="00CB687E">
        <w:lastRenderedPageBreak/>
        <w:t>4.2 In the Media</w:t>
      </w:r>
      <w:bookmarkEnd w:id="77"/>
      <w:bookmarkEnd w:id="78"/>
    </w:p>
    <w:p w14:paraId="52D243D3" w14:textId="3B18533B" w:rsidR="00EE2672" w:rsidRPr="00CB687E" w:rsidRDefault="00EE2672" w:rsidP="00EE2672">
      <w:pPr>
        <w:jc w:val="both"/>
      </w:pPr>
      <w:bookmarkStart w:id="79" w:name="_Toc201323048"/>
      <w:r w:rsidRPr="00CB687E">
        <w:t xml:space="preserve">A key aspect of the HRLSC’s work is providing the public with information about how to realize their human right to non-discrimination in Ontario, including through </w:t>
      </w:r>
      <w:r w:rsidR="00F51D4D" w:rsidRPr="00CB687E">
        <w:t xml:space="preserve">the </w:t>
      </w:r>
      <w:r w:rsidRPr="00CB687E">
        <w:t>HRTO legal redress process. T</w:t>
      </w:r>
      <w:r w:rsidRPr="00CB687E">
        <w:rPr>
          <w:rFonts w:hint="eastAsia"/>
        </w:rPr>
        <w:t xml:space="preserve">he HRLSC </w:t>
      </w:r>
      <w:r w:rsidRPr="00CB687E">
        <w:t xml:space="preserve">often offers comments to the media on </w:t>
      </w:r>
      <w:r w:rsidRPr="00CB687E">
        <w:rPr>
          <w:rFonts w:hint="eastAsia"/>
        </w:rPr>
        <w:t xml:space="preserve">HRTO </w:t>
      </w:r>
      <w:r w:rsidRPr="00CB687E">
        <w:t xml:space="preserve">human rights claims, </w:t>
      </w:r>
      <w:r w:rsidRPr="00CB687E">
        <w:rPr>
          <w:rFonts w:hint="eastAsia"/>
        </w:rPr>
        <w:t>decisions and processes</w:t>
      </w:r>
      <w:r w:rsidRPr="00CB687E">
        <w:t xml:space="preserve"> we are involved in</w:t>
      </w:r>
      <w:r w:rsidRPr="00CB687E">
        <w:rPr>
          <w:rFonts w:hint="eastAsia"/>
        </w:rPr>
        <w:t xml:space="preserve"> (with the permission of our clients)</w:t>
      </w:r>
      <w:r w:rsidRPr="00CB687E">
        <w:t xml:space="preserve">, as well as regarding </w:t>
      </w:r>
      <w:r w:rsidRPr="00CB687E">
        <w:rPr>
          <w:rFonts w:hint="eastAsia"/>
        </w:rPr>
        <w:t xml:space="preserve">our services </w:t>
      </w:r>
      <w:r w:rsidRPr="00CB687E">
        <w:t>more generally.</w:t>
      </w:r>
      <w:r w:rsidRPr="00CB687E">
        <w:rPr>
          <w:rFonts w:hint="eastAsia"/>
        </w:rPr>
        <w:t xml:space="preserve"> </w:t>
      </w:r>
    </w:p>
    <w:p w14:paraId="6780CB25" w14:textId="6E577C39" w:rsidR="00EE2672" w:rsidRPr="00CB687E" w:rsidRDefault="00EE2672" w:rsidP="00EE2672">
      <w:pPr>
        <w:jc w:val="both"/>
      </w:pPr>
      <w:r w:rsidRPr="00CB687E">
        <w:t>As noted in our performance measures later in this Annual Report, the HRLSC experienced a jump in the number of positive news stories, with 17 in the 2024</w:t>
      </w:r>
      <w:r w:rsidR="00191D95" w:rsidRPr="00191D95">
        <w:t>–</w:t>
      </w:r>
      <w:r w:rsidRPr="00CB687E">
        <w:t>2025 fiscal year</w:t>
      </w:r>
      <w:r w:rsidR="0073034E">
        <w:t>,</w:t>
      </w:r>
      <w:r w:rsidRPr="00CB687E">
        <w:t xml:space="preserve"> up from three in the 2023</w:t>
      </w:r>
      <w:r w:rsidR="00191D95" w:rsidRPr="00191D95">
        <w:t>–</w:t>
      </w:r>
      <w:r w:rsidRPr="00CB687E">
        <w:t xml:space="preserve">2024 fiscal period. </w:t>
      </w:r>
      <w:r w:rsidR="00EE09EE">
        <w:t>One reason for this</w:t>
      </w:r>
      <w:r w:rsidRPr="00CB687E">
        <w:t xml:space="preserve"> growth </w:t>
      </w:r>
      <w:r w:rsidR="00091A28">
        <w:t>is the addition of a</w:t>
      </w:r>
      <w:r w:rsidRPr="00CB687E">
        <w:t xml:space="preserve"> new communications manager</w:t>
      </w:r>
      <w:r w:rsidR="00091A28">
        <w:t xml:space="preserve"> to the </w:t>
      </w:r>
      <w:r w:rsidR="00D62A82">
        <w:t>HRLSC’s communications team</w:t>
      </w:r>
      <w:r w:rsidRPr="00CB687E">
        <w:t>, which allowed for increased outreach, education, content creation and media engagement.</w:t>
      </w:r>
    </w:p>
    <w:p w14:paraId="52FE2DF2" w14:textId="499B56CF" w:rsidR="00EE2672" w:rsidRPr="00CB687E" w:rsidRDefault="01A58C74" w:rsidP="00EE2672">
      <w:pPr>
        <w:pStyle w:val="Heading3"/>
      </w:pPr>
      <w:bookmarkStart w:id="80" w:name="_Toc201323046"/>
      <w:bookmarkStart w:id="81" w:name="_Toc201753998"/>
      <w:bookmarkStart w:id="82" w:name="_Toc204090275"/>
      <w:r>
        <w:t>4.2.1 Positive Media Coverage:</w:t>
      </w:r>
      <w:bookmarkEnd w:id="80"/>
      <w:bookmarkEnd w:id="81"/>
      <w:bookmarkEnd w:id="82"/>
    </w:p>
    <w:p w14:paraId="7C357F24" w14:textId="77777777" w:rsidR="00EE2672" w:rsidRPr="00CB687E" w:rsidRDefault="00EE2672" w:rsidP="00EE2672">
      <w:r w:rsidRPr="00CB687E">
        <w:t>Here is a snapshot of some of this fiscal year’s media coverage: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2431"/>
        <w:gridCol w:w="4102"/>
      </w:tblGrid>
      <w:tr w:rsidR="00EE2672" w:rsidRPr="00CB687E" w14:paraId="1E4CF686" w14:textId="77777777" w:rsidTr="007E32CC">
        <w:trPr>
          <w:trHeight w:val="288"/>
        </w:trPr>
        <w:tc>
          <w:tcPr>
            <w:tcW w:w="2827" w:type="dxa"/>
            <w:tcBorders>
              <w:bottom w:val="single" w:sz="48" w:space="0" w:color="auto"/>
            </w:tcBorders>
            <w:shd w:val="clear" w:color="auto" w:fill="F2F2F2" w:themeFill="background1" w:themeFillShade="F2"/>
            <w:vAlign w:val="center"/>
          </w:tcPr>
          <w:p w14:paraId="2B5B8D4D" w14:textId="77777777" w:rsidR="00EE2672" w:rsidRPr="00CB687E" w:rsidRDefault="00EE2672" w:rsidP="007E32CC">
            <w:pPr>
              <w:rPr>
                <w:b/>
                <w:bCs/>
              </w:rPr>
            </w:pPr>
            <w:r w:rsidRPr="00CB687E">
              <w:rPr>
                <w:b/>
                <w:bCs/>
              </w:rPr>
              <w:t>Story Headline:</w:t>
            </w:r>
          </w:p>
        </w:tc>
        <w:tc>
          <w:tcPr>
            <w:tcW w:w="2431" w:type="dxa"/>
            <w:tcBorders>
              <w:bottom w:val="single" w:sz="48" w:space="0" w:color="auto"/>
            </w:tcBorders>
            <w:shd w:val="clear" w:color="auto" w:fill="F2F2F2" w:themeFill="background1" w:themeFillShade="F2"/>
            <w:noWrap/>
            <w:vAlign w:val="center"/>
          </w:tcPr>
          <w:p w14:paraId="72489B4F" w14:textId="70276F9E" w:rsidR="00EE2672" w:rsidRPr="00CB687E" w:rsidRDefault="00EE2672" w:rsidP="007E32CC">
            <w:pPr>
              <w:rPr>
                <w:b/>
                <w:bCs/>
              </w:rPr>
            </w:pPr>
            <w:r w:rsidRPr="00CB687E">
              <w:rPr>
                <w:b/>
                <w:bCs/>
              </w:rPr>
              <w:t>Publication/Media Outlet and Date:</w:t>
            </w:r>
          </w:p>
        </w:tc>
        <w:tc>
          <w:tcPr>
            <w:tcW w:w="4102" w:type="dxa"/>
            <w:tcBorders>
              <w:bottom w:val="single" w:sz="48" w:space="0" w:color="auto"/>
            </w:tcBorders>
            <w:shd w:val="clear" w:color="auto" w:fill="F2F2F2" w:themeFill="background1" w:themeFillShade="F2"/>
            <w:vAlign w:val="center"/>
          </w:tcPr>
          <w:p w14:paraId="667B2BD2" w14:textId="77777777" w:rsidR="00EE2672" w:rsidRPr="00CB687E" w:rsidRDefault="00EE2672" w:rsidP="007E32CC">
            <w:pPr>
              <w:rPr>
                <w:b/>
                <w:bCs/>
              </w:rPr>
            </w:pPr>
            <w:r w:rsidRPr="00CB687E">
              <w:rPr>
                <w:b/>
                <w:bCs/>
              </w:rPr>
              <w:t>Description:</w:t>
            </w:r>
          </w:p>
        </w:tc>
      </w:tr>
      <w:tr w:rsidR="00EE2672" w:rsidRPr="00CB687E" w14:paraId="7C060434" w14:textId="77777777" w:rsidTr="007E32CC">
        <w:trPr>
          <w:trHeight w:val="288"/>
        </w:trPr>
        <w:tc>
          <w:tcPr>
            <w:tcW w:w="2827" w:type="dxa"/>
            <w:tcBorders>
              <w:top w:val="single" w:sz="48" w:space="0" w:color="auto"/>
              <w:right w:val="single" w:sz="24" w:space="0" w:color="auto"/>
            </w:tcBorders>
            <w:vAlign w:val="center"/>
            <w:hideMark/>
          </w:tcPr>
          <w:p w14:paraId="099A475A" w14:textId="77777777" w:rsidR="00EE2672" w:rsidRPr="00CB687E" w:rsidRDefault="00EE2672" w:rsidP="007E32CC">
            <w:hyperlink r:id="rId32" w:history="1">
              <w:r w:rsidRPr="00CB687E">
                <w:rPr>
                  <w:rStyle w:val="Hyperlink"/>
                </w:rPr>
                <w:t>Patchwork Treatment and the Invisible Majority</w:t>
              </w:r>
            </w:hyperlink>
          </w:p>
        </w:tc>
        <w:tc>
          <w:tcPr>
            <w:tcW w:w="2431" w:type="dxa"/>
            <w:tcBorders>
              <w:top w:val="single" w:sz="48" w:space="0" w:color="auto"/>
              <w:left w:val="single" w:sz="24" w:space="0" w:color="auto"/>
            </w:tcBorders>
            <w:noWrap/>
            <w:vAlign w:val="center"/>
            <w:hideMark/>
          </w:tcPr>
          <w:p w14:paraId="7EB004E9" w14:textId="1E645B65" w:rsidR="00EE2672" w:rsidRPr="00CB687E" w:rsidRDefault="00EE2672" w:rsidP="007E32CC">
            <w:r w:rsidRPr="00CB687E">
              <w:t>KCI-NIWESQ (Native Women’s Association)</w:t>
            </w:r>
            <w:r w:rsidR="00A25AA1" w:rsidRPr="00CB687E">
              <w:br/>
              <w:t>May 2024 issue</w:t>
            </w:r>
          </w:p>
        </w:tc>
        <w:tc>
          <w:tcPr>
            <w:tcW w:w="4102" w:type="dxa"/>
            <w:tcBorders>
              <w:top w:val="single" w:sz="48" w:space="0" w:color="auto"/>
            </w:tcBorders>
            <w:vAlign w:val="center"/>
          </w:tcPr>
          <w:p w14:paraId="41B947D8" w14:textId="77777777" w:rsidR="00EE2672" w:rsidRPr="00CB687E" w:rsidRDefault="00EE2672" w:rsidP="007E32CC">
            <w:r w:rsidRPr="00CB687E">
              <w:t>The HRLSC’s Chair provided comment on the human rights challenges faced by Indigenous people with disabilities accessing healthcare services.</w:t>
            </w:r>
          </w:p>
        </w:tc>
      </w:tr>
      <w:tr w:rsidR="00EE2672" w:rsidRPr="00CB687E" w14:paraId="7208B767" w14:textId="77777777" w:rsidTr="007E32CC">
        <w:trPr>
          <w:trHeight w:val="288"/>
        </w:trPr>
        <w:tc>
          <w:tcPr>
            <w:tcW w:w="2827" w:type="dxa"/>
            <w:tcBorders>
              <w:right w:val="single" w:sz="24" w:space="0" w:color="auto"/>
            </w:tcBorders>
            <w:vAlign w:val="center"/>
          </w:tcPr>
          <w:p w14:paraId="0DDC3DD3" w14:textId="77777777" w:rsidR="00EE2672" w:rsidRPr="00CB687E" w:rsidRDefault="00EE2672" w:rsidP="007E32CC">
            <w:hyperlink r:id="rId33" w:history="1">
              <w:r w:rsidRPr="00CB687E">
                <w:rPr>
                  <w:rStyle w:val="Hyperlink"/>
                </w:rPr>
                <w:t>‘I am proud of myself for never giving up’: Almaguin employer sexually harassed young woman, tribunal finds</w:t>
              </w:r>
            </w:hyperlink>
          </w:p>
        </w:tc>
        <w:tc>
          <w:tcPr>
            <w:tcW w:w="2431" w:type="dxa"/>
            <w:tcBorders>
              <w:left w:val="single" w:sz="24" w:space="0" w:color="auto"/>
            </w:tcBorders>
            <w:noWrap/>
            <w:vAlign w:val="center"/>
          </w:tcPr>
          <w:p w14:paraId="553C6FBD" w14:textId="3EDEE85E" w:rsidR="00EE2672" w:rsidRPr="00CB687E" w:rsidRDefault="00EE2672" w:rsidP="007E32CC">
            <w:r w:rsidRPr="00CB687E">
              <w:t>Parry Sound North Star</w:t>
            </w:r>
            <w:r w:rsidR="00A25AA1" w:rsidRPr="00CB687E">
              <w:br/>
              <w:t>June 17, 2024</w:t>
            </w:r>
          </w:p>
        </w:tc>
        <w:tc>
          <w:tcPr>
            <w:tcW w:w="4102" w:type="dxa"/>
            <w:vAlign w:val="center"/>
          </w:tcPr>
          <w:p w14:paraId="0A978652" w14:textId="77777777" w:rsidR="00EE2672" w:rsidRPr="00CB687E" w:rsidRDefault="00EE2672" w:rsidP="007E32CC">
            <w:r w:rsidRPr="00CB687E">
              <w:t xml:space="preserve">Media coverage of the HRLSC’s successful decision in the case of </w:t>
            </w:r>
            <w:r w:rsidRPr="00CB687E">
              <w:rPr>
                <w:i/>
                <w:iCs/>
              </w:rPr>
              <w:t>Kreps v. AHMIC Maintenance &amp; Storage Ltd</w:t>
            </w:r>
            <w:r w:rsidRPr="00CB687E">
              <w:t>., with comments from the client and HRLSC’s Chair.</w:t>
            </w:r>
          </w:p>
        </w:tc>
      </w:tr>
      <w:tr w:rsidR="00EE2672" w:rsidRPr="00CB687E" w14:paraId="5298C6FD" w14:textId="77777777" w:rsidTr="007E32CC">
        <w:trPr>
          <w:trHeight w:val="288"/>
        </w:trPr>
        <w:tc>
          <w:tcPr>
            <w:tcW w:w="2827" w:type="dxa"/>
            <w:tcBorders>
              <w:right w:val="single" w:sz="24" w:space="0" w:color="auto"/>
            </w:tcBorders>
            <w:vAlign w:val="center"/>
          </w:tcPr>
          <w:p w14:paraId="5370CC6C" w14:textId="77777777" w:rsidR="00EE2672" w:rsidRPr="0015063E" w:rsidRDefault="00EE2672" w:rsidP="007E32CC">
            <w:pPr>
              <w:rPr>
                <w:lang w:val="fr-FR"/>
              </w:rPr>
            </w:pPr>
            <w:hyperlink r:id="rId34" w:history="1">
              <w:r w:rsidRPr="0015063E">
                <w:rPr>
                  <w:rStyle w:val="Hyperlink"/>
                  <w:lang w:val="fr-FR"/>
                </w:rPr>
                <w:t>Une femme transgenre obtient 35 000 $ parce qu’on lui a refusé une épilation</w:t>
              </w:r>
            </w:hyperlink>
          </w:p>
        </w:tc>
        <w:tc>
          <w:tcPr>
            <w:tcW w:w="2431" w:type="dxa"/>
            <w:tcBorders>
              <w:left w:val="single" w:sz="24" w:space="0" w:color="auto"/>
            </w:tcBorders>
            <w:noWrap/>
            <w:vAlign w:val="center"/>
          </w:tcPr>
          <w:p w14:paraId="295F3B8E" w14:textId="1E01F37B" w:rsidR="00EE2672" w:rsidRPr="00B74A3D" w:rsidRDefault="00EE2672" w:rsidP="007E32CC">
            <w:r w:rsidRPr="00B74A3D">
              <w:t>Radio-Canada</w:t>
            </w:r>
            <w:r w:rsidR="00A25AA1" w:rsidRPr="00B74A3D">
              <w:br/>
              <w:t>June 20, 2024</w:t>
            </w:r>
          </w:p>
        </w:tc>
        <w:tc>
          <w:tcPr>
            <w:tcW w:w="4102" w:type="dxa"/>
            <w:vAlign w:val="center"/>
          </w:tcPr>
          <w:p w14:paraId="457C74C7" w14:textId="15AA3DFF" w:rsidR="00EE2672" w:rsidRPr="00CB687E" w:rsidRDefault="00EE2672" w:rsidP="007E32CC">
            <w:r w:rsidRPr="00CB687E">
              <w:t xml:space="preserve">French-language coverage of the HRLSC’s successful decision in the case of </w:t>
            </w:r>
            <w:r w:rsidRPr="00CB687E">
              <w:rPr>
                <w:i/>
                <w:iCs/>
              </w:rPr>
              <w:t>A.B. v. Mad Wax Windsor Inc.</w:t>
            </w:r>
            <w:r w:rsidRPr="00CB687E">
              <w:t>, with provided comments from the client and her legal counsel.</w:t>
            </w:r>
          </w:p>
        </w:tc>
      </w:tr>
      <w:tr w:rsidR="00EE2672" w:rsidRPr="00CB687E" w14:paraId="276D4571" w14:textId="77777777" w:rsidTr="007E32CC">
        <w:trPr>
          <w:trHeight w:val="288"/>
        </w:trPr>
        <w:tc>
          <w:tcPr>
            <w:tcW w:w="2827" w:type="dxa"/>
            <w:tcBorders>
              <w:right w:val="single" w:sz="24" w:space="0" w:color="auto"/>
            </w:tcBorders>
            <w:vAlign w:val="center"/>
          </w:tcPr>
          <w:p w14:paraId="4A16C9CD" w14:textId="3F19203A" w:rsidR="00EE2672" w:rsidRPr="00CB687E" w:rsidRDefault="00EE2672" w:rsidP="007E32CC">
            <w:hyperlink r:id="rId35" w:history="1">
              <w:r w:rsidRPr="00CB687E">
                <w:rPr>
                  <w:rStyle w:val="Hyperlink"/>
                </w:rPr>
                <w:t xml:space="preserve">Windsor business fined $35,000 for 'discrimination and </w:t>
              </w:r>
              <w:r w:rsidRPr="00CB687E">
                <w:rPr>
                  <w:rStyle w:val="Hyperlink"/>
                </w:rPr>
                <w:lastRenderedPageBreak/>
                <w:t>reprisal' of Indigenous transgender woman</w:t>
              </w:r>
            </w:hyperlink>
          </w:p>
        </w:tc>
        <w:tc>
          <w:tcPr>
            <w:tcW w:w="2431" w:type="dxa"/>
            <w:tcBorders>
              <w:left w:val="single" w:sz="24" w:space="0" w:color="auto"/>
            </w:tcBorders>
            <w:noWrap/>
            <w:vAlign w:val="center"/>
          </w:tcPr>
          <w:p w14:paraId="67489AE8" w14:textId="074155AE" w:rsidR="00EE2672" w:rsidRPr="00CB687E" w:rsidRDefault="00EE2672" w:rsidP="007E32CC">
            <w:r w:rsidRPr="00CB687E">
              <w:lastRenderedPageBreak/>
              <w:t>CTV Windsor</w:t>
            </w:r>
            <w:r w:rsidR="00A25AA1" w:rsidRPr="00CB687E">
              <w:br/>
              <w:t>June 25, 2024</w:t>
            </w:r>
          </w:p>
        </w:tc>
        <w:tc>
          <w:tcPr>
            <w:tcW w:w="4102" w:type="dxa"/>
            <w:vAlign w:val="center"/>
          </w:tcPr>
          <w:p w14:paraId="676BA386" w14:textId="77777777" w:rsidR="00EE2672" w:rsidRPr="00CB687E" w:rsidRDefault="00EE2672" w:rsidP="007E32CC">
            <w:r w:rsidRPr="00CB687E">
              <w:t xml:space="preserve">Local English-language coverage of the HRLSC’s successful decision in the case of </w:t>
            </w:r>
            <w:r w:rsidRPr="00CB687E">
              <w:rPr>
                <w:i/>
                <w:iCs/>
              </w:rPr>
              <w:t xml:space="preserve">A.B. v. Mad Wax </w:t>
            </w:r>
            <w:r w:rsidRPr="00CB687E">
              <w:rPr>
                <w:i/>
                <w:iCs/>
              </w:rPr>
              <w:lastRenderedPageBreak/>
              <w:t>Windsor Inc.</w:t>
            </w:r>
            <w:r w:rsidRPr="00CB687E">
              <w:t>, with comments from the client and remarks from an interview with her legal counsel.</w:t>
            </w:r>
          </w:p>
        </w:tc>
      </w:tr>
      <w:tr w:rsidR="00EE2672" w:rsidRPr="00CB687E" w14:paraId="2D4ED6A0" w14:textId="77777777" w:rsidTr="007E32CC">
        <w:trPr>
          <w:trHeight w:val="288"/>
        </w:trPr>
        <w:tc>
          <w:tcPr>
            <w:tcW w:w="2827" w:type="dxa"/>
            <w:tcBorders>
              <w:right w:val="single" w:sz="24" w:space="0" w:color="auto"/>
            </w:tcBorders>
            <w:vAlign w:val="center"/>
          </w:tcPr>
          <w:p w14:paraId="260DB9E6" w14:textId="77777777" w:rsidR="00EE2672" w:rsidRPr="00CB687E" w:rsidRDefault="00EE2672" w:rsidP="007E32CC">
            <w:hyperlink r:id="rId36" w:history="1">
              <w:r w:rsidRPr="00CB687E">
                <w:rPr>
                  <w:rStyle w:val="Hyperlink"/>
                </w:rPr>
                <w:t>An Indigenous Trans Woman in Ontario Won a Six-Year Legal Battle Against a Waxing Salon</w:t>
              </w:r>
            </w:hyperlink>
          </w:p>
        </w:tc>
        <w:tc>
          <w:tcPr>
            <w:tcW w:w="2431" w:type="dxa"/>
            <w:tcBorders>
              <w:left w:val="single" w:sz="24" w:space="0" w:color="auto"/>
            </w:tcBorders>
            <w:noWrap/>
            <w:vAlign w:val="center"/>
          </w:tcPr>
          <w:p w14:paraId="77A168B8" w14:textId="5D5C6DA6" w:rsidR="00EE2672" w:rsidRPr="00CB687E" w:rsidRDefault="00EE2672" w:rsidP="007E32CC">
            <w:r w:rsidRPr="00CB687E">
              <w:t>Them</w:t>
            </w:r>
            <w:r w:rsidR="00A25AA1" w:rsidRPr="00CB687E">
              <w:br/>
              <w:t>June 26, 2024</w:t>
            </w:r>
          </w:p>
        </w:tc>
        <w:tc>
          <w:tcPr>
            <w:tcW w:w="4102" w:type="dxa"/>
            <w:vAlign w:val="center"/>
          </w:tcPr>
          <w:p w14:paraId="063B5595" w14:textId="77777777" w:rsidR="00EE2672" w:rsidRPr="00CB687E" w:rsidRDefault="00EE2672" w:rsidP="007E32CC">
            <w:r w:rsidRPr="00CB687E">
              <w:t xml:space="preserve">Coverage of </w:t>
            </w:r>
            <w:r w:rsidRPr="00CB687E">
              <w:rPr>
                <w:i/>
                <w:iCs/>
              </w:rPr>
              <w:t>A.B. v. Mad Wax Windsor Inc.</w:t>
            </w:r>
            <w:r w:rsidRPr="00CB687E">
              <w:t xml:space="preserve"> in US online magazine covering LGBTQ-relevant news.</w:t>
            </w:r>
          </w:p>
        </w:tc>
      </w:tr>
      <w:tr w:rsidR="00A25AA1" w:rsidRPr="00CB687E" w14:paraId="1A6AD4B6" w14:textId="77777777" w:rsidTr="007E32CC">
        <w:trPr>
          <w:trHeight w:val="288"/>
        </w:trPr>
        <w:tc>
          <w:tcPr>
            <w:tcW w:w="2827" w:type="dxa"/>
            <w:tcBorders>
              <w:right w:val="single" w:sz="24" w:space="0" w:color="auto"/>
            </w:tcBorders>
            <w:vAlign w:val="center"/>
          </w:tcPr>
          <w:p w14:paraId="4C9ECBDB" w14:textId="2EFBC570" w:rsidR="00A25AA1" w:rsidRPr="00B74A3D" w:rsidRDefault="00CA2784" w:rsidP="007E32CC">
            <w:hyperlink r:id="rId37" w:history="1">
              <w:r w:rsidRPr="00B74A3D">
                <w:rPr>
                  <w:rStyle w:val="Hyperlink"/>
                </w:rPr>
                <w:t>Frank Stronach allegations highlight harassment in the workplace</w:t>
              </w:r>
            </w:hyperlink>
          </w:p>
        </w:tc>
        <w:tc>
          <w:tcPr>
            <w:tcW w:w="2431" w:type="dxa"/>
            <w:tcBorders>
              <w:left w:val="single" w:sz="24" w:space="0" w:color="auto"/>
            </w:tcBorders>
            <w:noWrap/>
            <w:vAlign w:val="center"/>
          </w:tcPr>
          <w:p w14:paraId="02FF5F9D" w14:textId="438979F7" w:rsidR="00A25AA1" w:rsidRPr="00CB687E" w:rsidRDefault="00A25AA1" w:rsidP="007E32CC">
            <w:r w:rsidRPr="00CB687E">
              <w:t xml:space="preserve">The Conversation </w:t>
            </w:r>
            <w:r w:rsidRPr="00CB687E">
              <w:br/>
              <w:t>July 9, 2024</w:t>
            </w:r>
          </w:p>
        </w:tc>
        <w:tc>
          <w:tcPr>
            <w:tcW w:w="4102" w:type="dxa"/>
            <w:vAlign w:val="center"/>
          </w:tcPr>
          <w:p w14:paraId="1A03AF5A" w14:textId="0E4897E9" w:rsidR="00A25AA1" w:rsidRPr="00CB687E" w:rsidRDefault="00CA2784" w:rsidP="007E32CC">
            <w:r w:rsidRPr="00CB687E">
              <w:t xml:space="preserve">Article by HRLSC Chair about how </w:t>
            </w:r>
            <w:r w:rsidR="00A25AA1" w:rsidRPr="00CB687E">
              <w:t>Frank Stronach allegations highlight harassment in the workplace</w:t>
            </w:r>
            <w:r w:rsidR="00D06149">
              <w:t>.</w:t>
            </w:r>
          </w:p>
        </w:tc>
      </w:tr>
      <w:tr w:rsidR="00EE2672" w:rsidRPr="00CB687E" w14:paraId="0F6CA9AF" w14:textId="77777777" w:rsidTr="007E32CC">
        <w:trPr>
          <w:trHeight w:val="288"/>
        </w:trPr>
        <w:tc>
          <w:tcPr>
            <w:tcW w:w="2827" w:type="dxa"/>
            <w:tcBorders>
              <w:right w:val="single" w:sz="24" w:space="0" w:color="auto"/>
            </w:tcBorders>
            <w:vAlign w:val="center"/>
          </w:tcPr>
          <w:p w14:paraId="448C7305" w14:textId="77777777" w:rsidR="00EE2672" w:rsidRPr="00CB687E" w:rsidRDefault="00EE2672" w:rsidP="007E32CC">
            <w:r w:rsidRPr="00CB687E">
              <w:rPr>
                <w:i/>
                <w:iCs/>
              </w:rPr>
              <w:t xml:space="preserve">Up North </w:t>
            </w:r>
            <w:r w:rsidRPr="00CB687E">
              <w:t xml:space="preserve">and </w:t>
            </w:r>
            <w:r w:rsidRPr="00CB687E">
              <w:rPr>
                <w:i/>
                <w:iCs/>
              </w:rPr>
              <w:t>Afternoon Drive</w:t>
            </w:r>
            <w:r w:rsidRPr="00CB687E">
              <w:t xml:space="preserve"> Radio Programs</w:t>
            </w:r>
          </w:p>
        </w:tc>
        <w:tc>
          <w:tcPr>
            <w:tcW w:w="2431" w:type="dxa"/>
            <w:tcBorders>
              <w:left w:val="single" w:sz="24" w:space="0" w:color="auto"/>
            </w:tcBorders>
            <w:noWrap/>
            <w:vAlign w:val="center"/>
          </w:tcPr>
          <w:p w14:paraId="5B2557D0" w14:textId="1A49F1AF" w:rsidR="00EE2672" w:rsidRPr="00CB687E" w:rsidRDefault="00EE2672" w:rsidP="007E32CC">
            <w:r w:rsidRPr="00CB687E">
              <w:t>CBC Radio</w:t>
            </w:r>
            <w:r w:rsidR="00A25AA1" w:rsidRPr="00CB687E">
              <w:br/>
              <w:t>Dec 5, 2024</w:t>
            </w:r>
          </w:p>
        </w:tc>
        <w:tc>
          <w:tcPr>
            <w:tcW w:w="4102" w:type="dxa"/>
            <w:vAlign w:val="center"/>
          </w:tcPr>
          <w:p w14:paraId="42A6ADF7" w14:textId="41F61A93" w:rsidR="00EE2672" w:rsidRPr="00CB687E" w:rsidRDefault="00EE2672" w:rsidP="007E32CC">
            <w:r w:rsidRPr="00CB687E">
              <w:t>Interviews for afternoon radio programming in Thunder Bay and Windsor with the HRLSC’s Chair discussing the C</w:t>
            </w:r>
            <w:r w:rsidR="005D1CB5">
              <w:t>entre</w:t>
            </w:r>
            <w:r w:rsidRPr="00CB687E">
              <w:t>’s annual report for 2023-2024.</w:t>
            </w:r>
          </w:p>
        </w:tc>
      </w:tr>
      <w:tr w:rsidR="00EE2672" w:rsidRPr="00CB687E" w14:paraId="4CB9666D" w14:textId="77777777" w:rsidTr="007E32CC">
        <w:trPr>
          <w:trHeight w:val="288"/>
        </w:trPr>
        <w:tc>
          <w:tcPr>
            <w:tcW w:w="2827" w:type="dxa"/>
            <w:tcBorders>
              <w:right w:val="single" w:sz="24" w:space="0" w:color="auto"/>
            </w:tcBorders>
            <w:vAlign w:val="center"/>
          </w:tcPr>
          <w:p w14:paraId="56B666F4" w14:textId="77777777" w:rsidR="00EE2672" w:rsidRPr="00CB687E" w:rsidRDefault="00EE2672" w:rsidP="007E32CC">
            <w:hyperlink r:id="rId38" w:history="1">
              <w:r w:rsidRPr="00CB687E">
                <w:rPr>
                  <w:rStyle w:val="Hyperlink"/>
                </w:rPr>
                <w:t>Victim of discrimination on North Bay, Ont., transit bus speaks out</w:t>
              </w:r>
            </w:hyperlink>
          </w:p>
        </w:tc>
        <w:tc>
          <w:tcPr>
            <w:tcW w:w="2431" w:type="dxa"/>
            <w:tcBorders>
              <w:left w:val="single" w:sz="24" w:space="0" w:color="auto"/>
            </w:tcBorders>
            <w:noWrap/>
            <w:vAlign w:val="center"/>
          </w:tcPr>
          <w:p w14:paraId="0A99A011" w14:textId="77777777" w:rsidR="00EE2672" w:rsidRDefault="00EE2672" w:rsidP="007E32CC">
            <w:pPr>
              <w:spacing w:after="0"/>
            </w:pPr>
            <w:r w:rsidRPr="00CB687E">
              <w:t>CTV Northern</w:t>
            </w:r>
          </w:p>
          <w:p w14:paraId="2E988A50" w14:textId="319046BC" w:rsidR="00E00AE9" w:rsidRPr="00CB687E" w:rsidRDefault="001C0D76" w:rsidP="007E32CC">
            <w:r>
              <w:t>January 15, 2025</w:t>
            </w:r>
          </w:p>
        </w:tc>
        <w:tc>
          <w:tcPr>
            <w:tcW w:w="4102" w:type="dxa"/>
            <w:vAlign w:val="center"/>
          </w:tcPr>
          <w:p w14:paraId="2CFEF994" w14:textId="77777777" w:rsidR="00EE2672" w:rsidRPr="00CB687E" w:rsidRDefault="00EE2672" w:rsidP="007E32CC">
            <w:r w:rsidRPr="00CB687E">
              <w:t xml:space="preserve">Media coverage of the HRLSC’s successful decision in the case of </w:t>
            </w:r>
            <w:r w:rsidRPr="00CB687E">
              <w:rPr>
                <w:i/>
                <w:iCs/>
              </w:rPr>
              <w:t>Nakogee v. The Corporation of the City of North Bay o/a North Bay Transit</w:t>
            </w:r>
            <w:r w:rsidRPr="00CB687E">
              <w:t>, with comments from the clients and their legal counsel.</w:t>
            </w:r>
          </w:p>
        </w:tc>
      </w:tr>
      <w:tr w:rsidR="00EE2672" w:rsidRPr="00CB687E" w14:paraId="23CF40E5" w14:textId="77777777" w:rsidTr="007E32CC">
        <w:trPr>
          <w:trHeight w:val="288"/>
        </w:trPr>
        <w:tc>
          <w:tcPr>
            <w:tcW w:w="2827" w:type="dxa"/>
            <w:tcBorders>
              <w:right w:val="single" w:sz="24" w:space="0" w:color="auto"/>
            </w:tcBorders>
            <w:vAlign w:val="center"/>
          </w:tcPr>
          <w:p w14:paraId="7F9B3E42" w14:textId="77777777" w:rsidR="00EE2672" w:rsidRPr="00CB687E" w:rsidRDefault="00EE2672" w:rsidP="007E32CC">
            <w:hyperlink r:id="rId39" w:history="1">
              <w:r w:rsidRPr="00CB687E">
                <w:rPr>
                  <w:rStyle w:val="Hyperlink"/>
                  <w:i/>
                  <w:iCs/>
                </w:rPr>
                <w:t>Morning North</w:t>
              </w:r>
              <w:r w:rsidRPr="00CB687E">
                <w:rPr>
                  <w:rStyle w:val="Hyperlink"/>
                </w:rPr>
                <w:t xml:space="preserve"> Radio Program </w:t>
              </w:r>
            </w:hyperlink>
          </w:p>
        </w:tc>
        <w:tc>
          <w:tcPr>
            <w:tcW w:w="2431" w:type="dxa"/>
            <w:tcBorders>
              <w:left w:val="single" w:sz="24" w:space="0" w:color="auto"/>
            </w:tcBorders>
            <w:noWrap/>
            <w:vAlign w:val="center"/>
          </w:tcPr>
          <w:p w14:paraId="49055ABD" w14:textId="77777777" w:rsidR="00EE2672" w:rsidRDefault="00EE2672" w:rsidP="007E32CC">
            <w:pPr>
              <w:spacing w:after="0"/>
            </w:pPr>
            <w:r w:rsidRPr="00CB687E">
              <w:t>CBC Radio</w:t>
            </w:r>
          </w:p>
          <w:p w14:paraId="01B061F1" w14:textId="4431230C" w:rsidR="001C0D76" w:rsidRPr="00CB687E" w:rsidRDefault="00F06106" w:rsidP="007E32CC">
            <w:pPr>
              <w:spacing w:after="0"/>
            </w:pPr>
            <w:r>
              <w:t>January 16, 2025</w:t>
            </w:r>
          </w:p>
        </w:tc>
        <w:tc>
          <w:tcPr>
            <w:tcW w:w="4102" w:type="dxa"/>
            <w:vAlign w:val="center"/>
          </w:tcPr>
          <w:p w14:paraId="66AA06AE" w14:textId="77777777" w:rsidR="00EE2672" w:rsidRPr="00CB687E" w:rsidRDefault="00EE2672" w:rsidP="007E32CC">
            <w:r w:rsidRPr="00CB687E">
              <w:t xml:space="preserve">Interview for morning radio programming in Sudbury with the HRLSC’s legal counsel discussing the case of </w:t>
            </w:r>
            <w:r w:rsidRPr="00CB687E">
              <w:rPr>
                <w:i/>
                <w:iCs/>
              </w:rPr>
              <w:t>Nakogee v. The Corporation of the City of North Bay o/a North Bay Transit</w:t>
            </w:r>
            <w:r w:rsidRPr="00CB687E">
              <w:t>.</w:t>
            </w:r>
          </w:p>
        </w:tc>
      </w:tr>
      <w:tr w:rsidR="00EE2672" w:rsidRPr="00CB687E" w14:paraId="5838A6E7" w14:textId="77777777" w:rsidTr="007E32CC">
        <w:trPr>
          <w:trHeight w:val="288"/>
        </w:trPr>
        <w:tc>
          <w:tcPr>
            <w:tcW w:w="2827" w:type="dxa"/>
            <w:tcBorders>
              <w:right w:val="single" w:sz="24" w:space="0" w:color="auto"/>
            </w:tcBorders>
            <w:vAlign w:val="center"/>
          </w:tcPr>
          <w:p w14:paraId="60F94916" w14:textId="77777777" w:rsidR="00EE2672" w:rsidRPr="00CB687E" w:rsidRDefault="00EE2672" w:rsidP="007E32CC">
            <w:hyperlink r:id="rId40" w:history="1">
              <w:r w:rsidRPr="00CB687E">
                <w:rPr>
                  <w:rStyle w:val="Hyperlink"/>
                </w:rPr>
                <w:t>Jamie McGinnis: Discrimination on Public Transit – Nakogee v. North Bay Transit</w:t>
              </w:r>
            </w:hyperlink>
          </w:p>
        </w:tc>
        <w:tc>
          <w:tcPr>
            <w:tcW w:w="2431" w:type="dxa"/>
            <w:tcBorders>
              <w:left w:val="single" w:sz="24" w:space="0" w:color="auto"/>
            </w:tcBorders>
            <w:noWrap/>
            <w:vAlign w:val="center"/>
          </w:tcPr>
          <w:p w14:paraId="1799FF66" w14:textId="77777777" w:rsidR="00EE2672" w:rsidRDefault="00EE2672" w:rsidP="007E32CC">
            <w:pPr>
              <w:spacing w:after="0"/>
            </w:pPr>
            <w:r w:rsidRPr="00CB687E">
              <w:rPr>
                <w:i/>
                <w:iCs/>
              </w:rPr>
              <w:t xml:space="preserve">Indigenous Human Rights </w:t>
            </w:r>
            <w:r w:rsidRPr="00CB687E">
              <w:t>– Pro-Bono Students Canada</w:t>
            </w:r>
          </w:p>
          <w:p w14:paraId="5675BE29" w14:textId="70965ED4" w:rsidR="00F06106" w:rsidRPr="00CB687E" w:rsidRDefault="00847149" w:rsidP="007E32CC">
            <w:r>
              <w:t>March 27, 2025</w:t>
            </w:r>
          </w:p>
        </w:tc>
        <w:tc>
          <w:tcPr>
            <w:tcW w:w="4102" w:type="dxa"/>
            <w:vAlign w:val="center"/>
          </w:tcPr>
          <w:p w14:paraId="7E0D1DAE" w14:textId="77777777" w:rsidR="00EE2672" w:rsidRPr="00CB687E" w:rsidRDefault="00EE2672" w:rsidP="007E32CC">
            <w:r w:rsidRPr="00CB687E">
              <w:t xml:space="preserve">Podcast episode with interview with the HRLSC’s legal counsel for the case of </w:t>
            </w:r>
            <w:r w:rsidRPr="00CB687E">
              <w:rPr>
                <w:i/>
                <w:iCs/>
              </w:rPr>
              <w:t>Nakogee v. The Corporation of the City of North Bay o/a North Bay Transit</w:t>
            </w:r>
            <w:r w:rsidRPr="00CB687E">
              <w:t>.</w:t>
            </w:r>
          </w:p>
        </w:tc>
      </w:tr>
    </w:tbl>
    <w:p w14:paraId="4C3E41B8" w14:textId="77777777" w:rsidR="002F1C97" w:rsidRDefault="002F1C97" w:rsidP="00EE2672">
      <w:pPr>
        <w:pStyle w:val="Heading3"/>
        <w:jc w:val="both"/>
        <w:sectPr w:rsidR="002F1C97" w:rsidSect="00C029B3">
          <w:type w:val="continuous"/>
          <w:pgSz w:w="12240" w:h="15840"/>
          <w:pgMar w:top="1440" w:right="1440" w:bottom="1440" w:left="1440" w:header="720" w:footer="720" w:gutter="0"/>
          <w:cols w:space="720"/>
          <w:titlePg/>
          <w:docGrid w:linePitch="360"/>
        </w:sectPr>
      </w:pPr>
      <w:bookmarkStart w:id="83" w:name="_Toc201323047"/>
      <w:bookmarkStart w:id="84" w:name="_Toc201753999"/>
    </w:p>
    <w:p w14:paraId="1067CE27" w14:textId="1AE144BC" w:rsidR="00EE2672" w:rsidRPr="00CB687E" w:rsidRDefault="00F54E76" w:rsidP="00EE2672">
      <w:pPr>
        <w:pStyle w:val="Heading3"/>
        <w:jc w:val="both"/>
      </w:pPr>
      <w:bookmarkStart w:id="85" w:name="_Toc204090276"/>
      <w:r>
        <w:lastRenderedPageBreak/>
        <w:t>4</w:t>
      </w:r>
      <w:r w:rsidR="00EE2672" w:rsidRPr="00CB687E">
        <w:t>.2.2 Website Traffic:</w:t>
      </w:r>
      <w:bookmarkEnd w:id="83"/>
      <w:bookmarkEnd w:id="84"/>
      <w:bookmarkEnd w:id="85"/>
    </w:p>
    <w:p w14:paraId="795C66A9" w14:textId="6C90CDF2" w:rsidR="00EE2672" w:rsidRPr="00CB687E" w:rsidRDefault="00EE2672" w:rsidP="00EE2672">
      <w:pPr>
        <w:jc w:val="both"/>
      </w:pPr>
      <w:r w:rsidRPr="00CB687E">
        <w:t>The HRLSC saw a 30% increase in its website traffic from the 2023</w:t>
      </w:r>
      <w:r w:rsidR="00191D95" w:rsidRPr="00191D95">
        <w:t>–</w:t>
      </w:r>
      <w:r w:rsidRPr="00CB687E">
        <w:t>2024 to 2024</w:t>
      </w:r>
      <w:r w:rsidR="00191D95" w:rsidRPr="00191D95">
        <w:t>–</w:t>
      </w:r>
      <w:r w:rsidRPr="00CB687E">
        <w:t>2025 fiscal year</w:t>
      </w:r>
      <w:r w:rsidR="004878B9">
        <w:t>s</w:t>
      </w:r>
      <w:r w:rsidRPr="00CB687E">
        <w:t>. As mentioned above, with the increase in communications staff from one to two full-time positions, the HRLSC’s ability to develop content increased greatly. In the 2024</w:t>
      </w:r>
      <w:r w:rsidR="00191D95" w:rsidRPr="00191D95">
        <w:t>–</w:t>
      </w:r>
      <w:r w:rsidRPr="00CB687E">
        <w:t xml:space="preserve">2025 fiscal year, the HRLSC had over 188,000 user sessions on its website. </w:t>
      </w:r>
    </w:p>
    <w:p w14:paraId="68DB5FF2" w14:textId="723FFB89" w:rsidR="00EE2672" w:rsidRPr="00CB687E" w:rsidRDefault="00EE2672" w:rsidP="00EE2672">
      <w:pPr>
        <w:jc w:val="both"/>
      </w:pPr>
      <w:r w:rsidRPr="00CB687E">
        <w:t xml:space="preserve">Key pages that received the most visits included the HRLSC’s contact page and its online questionnaire to assist users with determining if they have a </w:t>
      </w:r>
      <w:r w:rsidRPr="00CB687E">
        <w:rPr>
          <w:i/>
          <w:iCs/>
        </w:rPr>
        <w:t>Code</w:t>
      </w:r>
      <w:r w:rsidRPr="00CB687E">
        <w:t xml:space="preserve">-related human rights issue. The next most visited pages were its How-to Guide on the concept of the </w:t>
      </w:r>
      <w:r w:rsidRPr="00B74A3D">
        <w:t>duty to accommodate</w:t>
      </w:r>
      <w:r w:rsidRPr="00CB687E">
        <w:rPr>
          <w:i/>
          <w:iCs/>
        </w:rPr>
        <w:t>,</w:t>
      </w:r>
      <w:r w:rsidRPr="00CB687E">
        <w:t xml:space="preserve"> followed by its media stories page. </w:t>
      </w:r>
    </w:p>
    <w:p w14:paraId="35D0C10E" w14:textId="2B7DE7A0" w:rsidR="00F340BF" w:rsidRDefault="00EE2672" w:rsidP="00EE2672">
      <w:pPr>
        <w:jc w:val="both"/>
      </w:pPr>
      <w:r w:rsidRPr="00CB687E">
        <w:t>The HRLSC will continue to develop accessible content to support users through online resources, provide information on the Centre’s activities and direct individuals to its legal advice and support services.</w:t>
      </w:r>
    </w:p>
    <w:p w14:paraId="626737FC" w14:textId="4A0D95CE" w:rsidR="004F4A58" w:rsidRPr="00CB687E" w:rsidRDefault="004F4A58" w:rsidP="004F4A58">
      <w:pPr>
        <w:pStyle w:val="Heading2"/>
      </w:pPr>
      <w:bookmarkStart w:id="86" w:name="_Toc204090277"/>
      <w:r w:rsidRPr="00CB687E">
        <w:t xml:space="preserve">4.3. </w:t>
      </w:r>
      <w:bookmarkEnd w:id="79"/>
      <w:r w:rsidR="00731178" w:rsidRPr="00CB687E">
        <w:t>2024</w:t>
      </w:r>
      <w:r w:rsidR="009B65A0" w:rsidRPr="009B65A0">
        <w:t>–</w:t>
      </w:r>
      <w:r w:rsidR="00731178" w:rsidRPr="00CB687E">
        <w:t xml:space="preserve">2025 </w:t>
      </w:r>
      <w:r w:rsidR="009E4980" w:rsidRPr="00CB687E">
        <w:t>Statistics</w:t>
      </w:r>
      <w:bookmarkEnd w:id="86"/>
    </w:p>
    <w:p w14:paraId="14C202CE" w14:textId="786626DF" w:rsidR="00731178" w:rsidRPr="00CB687E" w:rsidRDefault="00731178" w:rsidP="00731178">
      <w:pPr>
        <w:pStyle w:val="Heading3"/>
      </w:pPr>
      <w:bookmarkStart w:id="87" w:name="_Toc204090278"/>
      <w:r w:rsidRPr="00CB687E">
        <w:t>4.3.1 Region</w:t>
      </w:r>
      <w:bookmarkEnd w:id="87"/>
    </w:p>
    <w:p w14:paraId="2D39DBA9" w14:textId="28C04E69" w:rsidR="00DC1E89" w:rsidRDefault="00731178" w:rsidP="00DC1E89">
      <w:pPr>
        <w:rPr>
          <w:rFonts w:cs="Tahoma"/>
        </w:rPr>
      </w:pPr>
      <w:r w:rsidRPr="00CB687E">
        <w:rPr>
          <w:rFonts w:cs="Tahoma"/>
        </w:rPr>
        <w:t xml:space="preserve">The HRLSC provides legal services </w:t>
      </w:r>
      <w:r w:rsidR="00965610" w:rsidRPr="00CB687E">
        <w:rPr>
          <w:rFonts w:cs="Tahoma"/>
        </w:rPr>
        <w:t xml:space="preserve">to </w:t>
      </w:r>
      <w:r w:rsidRPr="00CB687E">
        <w:rPr>
          <w:rFonts w:cs="Tahoma"/>
        </w:rPr>
        <w:t>thousands of people across Ontario every year. To track the impact of this work, the HRLSC utilizes its Client Tracking Tool and cloud-based phone software, online surveys, web analytics as well as manual data input from staff.</w:t>
      </w:r>
    </w:p>
    <w:p w14:paraId="71A8B1FB" w14:textId="1FF4EF1F" w:rsidR="003F07CD" w:rsidRDefault="00BA72CE" w:rsidP="005C0A6D">
      <w:pPr>
        <w:rPr>
          <w:rFonts w:cs="Tahoma"/>
        </w:rPr>
      </w:pPr>
      <w:r w:rsidRPr="00CB687E">
        <w:rPr>
          <w:rFonts w:cs="Tahoma"/>
        </w:rPr>
        <w:t>An examination of regional population data in relation to regional intake data demonstrates that Central Ontario is notably underrepresented among intake callers (39% of the population, 31% of intake calls) while Toronto is significantly</w:t>
      </w:r>
      <w:r w:rsidR="0038714A">
        <w:rPr>
          <w:rFonts w:cs="Tahoma"/>
        </w:rPr>
        <w:t xml:space="preserve"> </w:t>
      </w:r>
      <w:r w:rsidRPr="00CB687E">
        <w:rPr>
          <w:rFonts w:cs="Tahoma"/>
        </w:rPr>
        <w:t xml:space="preserve">overrepresented (20% of the population, 30% of intake calls). Among the other regions, there is a close correspondence between their shares of the population and their representation among intake callers. </w:t>
      </w:r>
      <w:bookmarkStart w:id="88" w:name="_Hlk200971773"/>
      <w:r w:rsidR="00731178">
        <w:fldChar w:fldCharType="begin"/>
      </w:r>
      <w:r w:rsidR="00731178">
        <w:instrText>HYPERLINK "https://www.canadapost-postescanada.ca/cpc/en/support/articles/addressing-guidelines/postal-codes.page"</w:instrText>
      </w:r>
      <w:r w:rsidR="00731178">
        <w:fldChar w:fldCharType="separate"/>
      </w:r>
      <w:r w:rsidR="00731178">
        <w:fldChar w:fldCharType="end"/>
      </w:r>
      <w:hyperlink r:id="rId41" w:anchor="fsa" w:history="1"/>
    </w:p>
    <w:p w14:paraId="39FE95AB" w14:textId="117654BF" w:rsidR="005C0A6D" w:rsidRDefault="005C0A6D" w:rsidP="00BA72CE">
      <w:pPr>
        <w:spacing w:before="240"/>
        <w:rPr>
          <w:rFonts w:cs="Tahoma"/>
        </w:rPr>
      </w:pPr>
      <w:r w:rsidRPr="00CB687E">
        <w:rPr>
          <w:rFonts w:cs="Tahoma"/>
        </w:rPr>
        <w:t>The HRLSC’s highest number of intakes during the 2024</w:t>
      </w:r>
      <w:r w:rsidRPr="285EF893">
        <w:rPr>
          <w:rFonts w:cs="Tahoma"/>
        </w:rPr>
        <w:t>–20</w:t>
      </w:r>
      <w:r w:rsidRPr="00CB687E">
        <w:rPr>
          <w:rFonts w:cs="Tahoma"/>
        </w:rPr>
        <w:t xml:space="preserve">25 fiscal year </w:t>
      </w:r>
      <w:r w:rsidRPr="285EF893">
        <w:rPr>
          <w:rFonts w:cs="Tahoma"/>
        </w:rPr>
        <w:t xml:space="preserve">were </w:t>
      </w:r>
      <w:r w:rsidRPr="00CB687E">
        <w:rPr>
          <w:rFonts w:cs="Tahoma"/>
        </w:rPr>
        <w:t>from Central Ontario (which includes the city of Hamilton, as well as the regions of Niagara, Halton, Peel, Durham, Dufferin and York Regions, and Simcoe County) and Toronto.</w:t>
      </w:r>
      <w:r w:rsidRPr="285EF893">
        <w:rPr>
          <w:rStyle w:val="FootnoteReference"/>
          <w:rFonts w:cs="Tahoma"/>
        </w:rPr>
        <w:footnoteReference w:id="1"/>
      </w:r>
    </w:p>
    <w:p w14:paraId="2D25A09D" w14:textId="297DDEA8" w:rsidR="00DC1E89" w:rsidRPr="00CB687E" w:rsidRDefault="00DC1E89" w:rsidP="00BA72CE">
      <w:pPr>
        <w:spacing w:before="240"/>
        <w:rPr>
          <w:rFonts w:cs="Tahoma"/>
        </w:rPr>
      </w:pPr>
      <w:r w:rsidRPr="00CB687E">
        <w:rPr>
          <w:rFonts w:cs="Tahoma"/>
        </w:rPr>
        <w:lastRenderedPageBreak/>
        <w:t xml:space="preserve">A comparative examination of HRLSC intake calls and HRTO applications, broken down by region, shows a high degree of overlap </w:t>
      </w:r>
      <w:r w:rsidR="000115F4">
        <w:rPr>
          <w:rFonts w:cs="Tahoma"/>
        </w:rPr>
        <w:t xml:space="preserve">between </w:t>
      </w:r>
      <w:r w:rsidR="006F3F1E">
        <w:rPr>
          <w:rFonts w:cs="Tahoma"/>
        </w:rPr>
        <w:t xml:space="preserve">the share of </w:t>
      </w:r>
      <w:r w:rsidR="009F4EAC">
        <w:rPr>
          <w:rFonts w:cs="Tahoma"/>
        </w:rPr>
        <w:t>intakes received at the HRLSC and population distribution</w:t>
      </w:r>
      <w:r w:rsidRPr="00CB687E">
        <w:rPr>
          <w:rFonts w:cs="Tahoma"/>
        </w:rPr>
        <w:t xml:space="preserve"> in four out of five regions</w:t>
      </w:r>
      <w:r w:rsidR="000115F4">
        <w:rPr>
          <w:rFonts w:cs="Tahoma"/>
        </w:rPr>
        <w:t>.</w:t>
      </w:r>
      <w:r w:rsidRPr="00CB687E">
        <w:rPr>
          <w:rFonts w:cs="Tahoma"/>
        </w:rPr>
        <w:t xml:space="preserve"> Toronto is the exception given a </w:t>
      </w:r>
      <w:r w:rsidR="00F01DDA" w:rsidRPr="00CB687E">
        <w:rPr>
          <w:rFonts w:cs="Tahoma"/>
        </w:rPr>
        <w:t>seven-percentage</w:t>
      </w:r>
      <w:r w:rsidRPr="00CB687E">
        <w:rPr>
          <w:rFonts w:cs="Tahoma"/>
        </w:rPr>
        <w:t xml:space="preserve"> point gap between Toronto related HRLSC intake calls (30%) and HRTO applications (23%).</w:t>
      </w:r>
    </w:p>
    <w:p w14:paraId="580A58AC" w14:textId="45DA6CFD" w:rsidR="006730EE" w:rsidRDefault="00F20F3F" w:rsidP="00731178">
      <w:pPr>
        <w:rPr>
          <w:rFonts w:ascii="Arial" w:hAnsi="Arial" w:cs="Arial"/>
          <w:sz w:val="28"/>
          <w:szCs w:val="28"/>
        </w:rPr>
        <w:sectPr w:rsidR="006730EE" w:rsidSect="007E2A80">
          <w:type w:val="continuous"/>
          <w:pgSz w:w="12240" w:h="15840"/>
          <w:pgMar w:top="1440" w:right="1440" w:bottom="1440" w:left="1440" w:header="720" w:footer="720" w:gutter="0"/>
          <w:cols w:space="720"/>
          <w:titlePg/>
          <w:docGrid w:linePitch="360"/>
        </w:sectPr>
      </w:pPr>
      <w:r>
        <w:rPr>
          <w:noProof/>
        </w:rPr>
        <mc:AlternateContent>
          <mc:Choice Requires="wps">
            <w:drawing>
              <wp:anchor distT="91440" distB="91440" distL="114300" distR="114300" simplePos="0" relativeHeight="251697156" behindDoc="0" locked="0" layoutInCell="1" allowOverlap="1" wp14:anchorId="6793F15C" wp14:editId="41C5AE11">
                <wp:simplePos x="0" y="0"/>
                <wp:positionH relativeFrom="page">
                  <wp:posOffset>1000125</wp:posOffset>
                </wp:positionH>
                <wp:positionV relativeFrom="paragraph">
                  <wp:posOffset>1433195</wp:posOffset>
                </wp:positionV>
                <wp:extent cx="5857875" cy="1403985"/>
                <wp:effectExtent l="0" t="0" r="0" b="6350"/>
                <wp:wrapTopAndBottom/>
                <wp:docPr id="7655287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3985"/>
                        </a:xfrm>
                        <a:prstGeom prst="rect">
                          <a:avLst/>
                        </a:prstGeom>
                        <a:noFill/>
                        <a:ln w="9525">
                          <a:noFill/>
                          <a:miter lim="800000"/>
                          <a:headEnd/>
                          <a:tailEnd/>
                        </a:ln>
                      </wps:spPr>
                      <wps:txbx>
                        <w:txbxContent>
                          <w:p w14:paraId="24F0379F" w14:textId="70E50B28" w:rsidR="00F20F3F" w:rsidRPr="005B5BFE" w:rsidRDefault="00F60A35" w:rsidP="00F20F3F">
                            <w:pPr>
                              <w:pBdr>
                                <w:top w:val="single" w:sz="24" w:space="8" w:color="156082" w:themeColor="accent1"/>
                                <w:bottom w:val="single" w:sz="24" w:space="8" w:color="156082" w:themeColor="accent1"/>
                              </w:pBdr>
                              <w:rPr>
                                <w:i/>
                                <w:iCs/>
                                <w:color w:val="156082" w:themeColor="accent1"/>
                                <w:sz w:val="32"/>
                                <w:szCs w:val="32"/>
                                <w:lang w:val="en-US"/>
                              </w:rPr>
                            </w:pPr>
                            <w:r>
                              <w:rPr>
                                <w:i/>
                                <w:iCs/>
                                <w:color w:val="156082" w:themeColor="accent1"/>
                                <w:sz w:val="32"/>
                                <w:szCs w:val="32"/>
                              </w:rPr>
                              <w:t>’’</w:t>
                            </w:r>
                            <w:r w:rsidR="00591C21" w:rsidRPr="00591C21">
                              <w:rPr>
                                <w:i/>
                                <w:iCs/>
                                <w:color w:val="156082" w:themeColor="accent1"/>
                                <w:sz w:val="32"/>
                                <w:szCs w:val="32"/>
                              </w:rPr>
                              <w:t>The call center staff were also incredibly empathic and human-friendly, adding an extra layer of support to the process. Please extend my gratitude to them as well. I want to extend a special mention to [the HRLSC’s staff], whose empathy and support were particularly meaningful to me throughout this process.”</w:t>
                            </w:r>
                          </w:p>
                          <w:p w14:paraId="2E9283E3" w14:textId="77777777" w:rsidR="00F20F3F" w:rsidRPr="005B5BFE" w:rsidRDefault="00F20F3F" w:rsidP="00F20F3F">
                            <w:pPr>
                              <w:pBdr>
                                <w:top w:val="single" w:sz="24" w:space="8" w:color="156082" w:themeColor="accent1"/>
                                <w:bottom w:val="single" w:sz="24" w:space="8" w:color="156082" w:themeColor="accent1"/>
                              </w:pBdr>
                              <w:spacing w:after="0"/>
                              <w:rPr>
                                <w:i/>
                                <w:iCs/>
                                <w:color w:val="156082" w:themeColor="accent1"/>
                                <w:sz w:val="32"/>
                                <w:szCs w:val="32"/>
                                <w:lang w:val="en-US"/>
                              </w:rPr>
                            </w:pPr>
                            <w:r w:rsidRPr="00F92713">
                              <w:rPr>
                                <w:i/>
                                <w:iCs/>
                                <w:color w:val="156082" w:themeColor="accent1"/>
                                <w:sz w:val="32"/>
                                <w:szCs w:val="32"/>
                                <w:lang w:val="en-US"/>
                              </w:rPr>
                              <w:t>– HRLSC Client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93F15C" id="_x0000_s1029" type="#_x0000_t202" style="position:absolute;margin-left:78.75pt;margin-top:112.85pt;width:461.25pt;height:110.55pt;z-index:25169715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" filled="f" stroked="f">
                <v:textbox style="mso-fit-shape-to-text:t">
                  <w:txbxContent>
                    <w:p w14:paraId="24F0379F" w14:textId="70E50B28" w:rsidR="00F20F3F" w:rsidRPr="005B5BFE" w:rsidRDefault="00F60A35" w:rsidP="00F20F3F">
                      <w:pPr>
                        <w:pBdr>
                          <w:top w:val="single" w:sz="24" w:space="8" w:color="156082" w:themeColor="accent1"/>
                          <w:bottom w:val="single" w:sz="24" w:space="8" w:color="156082" w:themeColor="accent1"/>
                        </w:pBdr>
                        <w:rPr>
                          <w:i/>
                          <w:iCs/>
                          <w:color w:val="156082" w:themeColor="accent1"/>
                          <w:sz w:val="32"/>
                          <w:szCs w:val="32"/>
                          <w:lang w:val="en-US"/>
                        </w:rPr>
                      </w:pPr>
                      <w:r>
                        <w:rPr>
                          <w:i/>
                          <w:iCs/>
                          <w:color w:val="156082" w:themeColor="accent1"/>
                          <w:sz w:val="32"/>
                          <w:szCs w:val="32"/>
                        </w:rPr>
                        <w:t>’’</w:t>
                      </w:r>
                      <w:r w:rsidR="00591C21" w:rsidRPr="00591C21">
                        <w:rPr>
                          <w:i/>
                          <w:iCs/>
                          <w:color w:val="156082" w:themeColor="accent1"/>
                          <w:sz w:val="32"/>
                          <w:szCs w:val="32"/>
                        </w:rPr>
                        <w:t>The call center staff were also incredibly empathic and human-friendly, adding an extra layer of support to the process. Please extend my gratitude to them as well. I want to extend a special mention to [the HRLSC’s staff], whose empathy and support were particularly meaningful to me throughout this process.”</w:t>
                      </w:r>
                    </w:p>
                    <w:p w14:paraId="2E9283E3" w14:textId="77777777" w:rsidR="00F20F3F" w:rsidRPr="005B5BFE" w:rsidRDefault="00F20F3F" w:rsidP="00F20F3F">
                      <w:pPr>
                        <w:pBdr>
                          <w:top w:val="single" w:sz="24" w:space="8" w:color="156082" w:themeColor="accent1"/>
                          <w:bottom w:val="single" w:sz="24" w:space="8" w:color="156082" w:themeColor="accent1"/>
                        </w:pBdr>
                        <w:spacing w:after="0"/>
                        <w:rPr>
                          <w:i/>
                          <w:iCs/>
                          <w:color w:val="156082" w:themeColor="accent1"/>
                          <w:sz w:val="32"/>
                          <w:szCs w:val="32"/>
                          <w:lang w:val="en-US"/>
                        </w:rPr>
                      </w:pPr>
                      <w:r w:rsidRPr="00F92713">
                        <w:rPr>
                          <w:i/>
                          <w:iCs/>
                          <w:color w:val="156082" w:themeColor="accent1"/>
                          <w:sz w:val="32"/>
                          <w:szCs w:val="32"/>
                          <w:lang w:val="en-US"/>
                        </w:rPr>
                        <w:t>– HRLSC Client</w:t>
                      </w:r>
                    </w:p>
                  </w:txbxContent>
                </v:textbox>
                <w10:wrap type="topAndBottom" anchorx="page"/>
              </v:shape>
            </w:pict>
          </mc:Fallback>
        </mc:AlternateContent>
      </w:r>
    </w:p>
    <w:p w14:paraId="2915B8EF" w14:textId="556B436F" w:rsidR="00731178" w:rsidRPr="009C639F" w:rsidRDefault="009F4C1C" w:rsidP="009C639F">
      <w:pPr>
        <w:tabs>
          <w:tab w:val="right" w:pos="12960"/>
        </w:tabs>
        <w:rPr>
          <w:rFonts w:ascii="Arial" w:hAnsi="Arial" w:cs="Arial"/>
          <w:sz w:val="28"/>
          <w:szCs w:val="28"/>
        </w:rPr>
      </w:pPr>
      <w:r>
        <w:rPr>
          <w:rFonts w:ascii="Arial" w:hAnsi="Arial" w:cs="Arial"/>
          <w:noProof/>
          <w:sz w:val="28"/>
          <w:szCs w:val="28"/>
        </w:rPr>
        <w:lastRenderedPageBreak/>
        <w:drawing>
          <wp:anchor distT="0" distB="0" distL="114300" distR="114300" simplePos="0" relativeHeight="251703300" behindDoc="0" locked="0" layoutInCell="1" allowOverlap="1" wp14:anchorId="65C4607B" wp14:editId="6EC4159D">
            <wp:simplePos x="0" y="0"/>
            <wp:positionH relativeFrom="column">
              <wp:posOffset>4084320</wp:posOffset>
            </wp:positionH>
            <wp:positionV relativeFrom="paragraph">
              <wp:posOffset>0</wp:posOffset>
            </wp:positionV>
            <wp:extent cx="4129405" cy="3291840"/>
            <wp:effectExtent l="0" t="0" r="4445" b="3810"/>
            <wp:wrapSquare wrapText="bothSides"/>
            <wp:docPr id="965467377" name="Chart 1" descr="Title: Ontario regions by population share.&#10;&#10;Central Ontario: 39%; Greater Toronto Area: 20%; Southwestern Ontario: 20%; Eastern Ontario: 15%; Northern Ontario: 6%.">
              <a:extLst xmlns:a="http://schemas.openxmlformats.org/drawingml/2006/main">
                <a:ext uri="{FF2B5EF4-FFF2-40B4-BE49-F238E27FC236}">
                  <a16:creationId xmlns:a16="http://schemas.microsoft.com/office/drawing/2014/main" id="{8C9D6DF9-8518-72F1-1D4B-92D9E2B20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704324" behindDoc="0" locked="0" layoutInCell="1" allowOverlap="1" wp14:anchorId="6CBD21A8" wp14:editId="118077DF">
            <wp:simplePos x="0" y="0"/>
            <wp:positionH relativeFrom="column">
              <wp:posOffset>-15240</wp:posOffset>
            </wp:positionH>
            <wp:positionV relativeFrom="paragraph">
              <wp:posOffset>0</wp:posOffset>
            </wp:positionV>
            <wp:extent cx="4099560" cy="3291840"/>
            <wp:effectExtent l="0" t="0" r="15240" b="3810"/>
            <wp:wrapSquare wrapText="bothSides"/>
            <wp:docPr id="282082678" name="Chart 1" descr="Title: Intake calls by region in 2024-2025.&#10;&#10;Central Ontario: 31%; Greater Toronto Area: 30%; Southwestern Ontario: 17%; Eastern Ontario: 13%; Northern Ontario: 6%; Out-of-province: 3%.">
              <a:extLst xmlns:a="http://schemas.openxmlformats.org/drawingml/2006/main">
                <a:ext uri="{FF2B5EF4-FFF2-40B4-BE49-F238E27FC236}">
                  <a16:creationId xmlns:a16="http://schemas.microsoft.com/office/drawing/2014/main" id="{63D9D950-3024-652A-1442-9BD603E817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Pr>
          <w:rFonts w:ascii="Arial" w:hAnsi="Arial" w:cs="Arial"/>
          <w:noProof/>
          <w:sz w:val="28"/>
          <w:szCs w:val="28"/>
        </w:rPr>
        <mc:AlternateContent>
          <mc:Choice Requires="wps">
            <w:drawing>
              <wp:anchor distT="0" distB="0" distL="114300" distR="114300" simplePos="0" relativeHeight="251701252" behindDoc="0" locked="0" layoutInCell="1" allowOverlap="1" wp14:anchorId="2441B18C" wp14:editId="22580166">
                <wp:simplePos x="0" y="0"/>
                <wp:positionH relativeFrom="column">
                  <wp:posOffset>-15240</wp:posOffset>
                </wp:positionH>
                <wp:positionV relativeFrom="paragraph">
                  <wp:posOffset>3293667</wp:posOffset>
                </wp:positionV>
                <wp:extent cx="8229600" cy="2637233"/>
                <wp:effectExtent l="0" t="0" r="19050" b="10795"/>
                <wp:wrapSquare wrapText="bothSides"/>
                <wp:docPr id="1979584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2637233"/>
                        </a:xfrm>
                        <a:prstGeom prst="rect">
                          <a:avLst/>
                        </a:prstGeom>
                        <a:noFill/>
                        <a:ln w="9525">
                          <a:solidFill>
                            <a:schemeClr val="bg1"/>
                          </a:solidFill>
                          <a:miter lim="800000"/>
                          <a:headEnd/>
                          <a:tailEnd/>
                        </a:ln>
                      </wps:spPr>
                      <wps:txbx>
                        <w:txbxContent>
                          <w:p w14:paraId="3211A55E" w14:textId="77777777" w:rsidR="006730EE" w:rsidRPr="00FB7D91" w:rsidRDefault="006730EE" w:rsidP="006730EE">
                            <w:pPr>
                              <w:pStyle w:val="Heading4"/>
                              <w:rPr>
                                <w:rFonts w:cs="Tahoma"/>
                              </w:rPr>
                            </w:pPr>
                            <w:r w:rsidRPr="00FB7D91">
                              <w:rPr>
                                <w:rFonts w:cs="Tahoma"/>
                              </w:rPr>
                              <w:t>HRLSC/HRTO Regional Comparison:</w:t>
                            </w:r>
                          </w:p>
                          <w:tbl>
                            <w:tblPr>
                              <w:tblStyle w:val="TableGrid"/>
                              <w:tblW w:w="0" w:type="auto"/>
                              <w:tblLook w:val="04A0" w:firstRow="1" w:lastRow="0" w:firstColumn="1" w:lastColumn="0" w:noHBand="0" w:noVBand="1"/>
                            </w:tblPr>
                            <w:tblGrid>
                              <w:gridCol w:w="3617"/>
                              <w:gridCol w:w="4027"/>
                              <w:gridCol w:w="5019"/>
                            </w:tblGrid>
                            <w:tr w:rsidR="006730EE" w:rsidRPr="00FB7D91" w14:paraId="58CF03A8" w14:textId="77777777" w:rsidTr="00816D98">
                              <w:tc>
                                <w:tcPr>
                                  <w:tcW w:w="3681" w:type="dxa"/>
                                  <w:tcBorders>
                                    <w:bottom w:val="single" w:sz="48" w:space="0" w:color="auto"/>
                                  </w:tcBorders>
                                  <w:shd w:val="clear" w:color="auto" w:fill="E8E8E8" w:themeFill="background2"/>
                                  <w:vAlign w:val="center"/>
                                </w:tcPr>
                                <w:p w14:paraId="6A01D945" w14:textId="77777777" w:rsidR="006730EE" w:rsidRPr="00B81AB7" w:rsidRDefault="006730EE" w:rsidP="00816D98">
                                  <w:pPr>
                                    <w:rPr>
                                      <w:rFonts w:eastAsia="Aptos" w:cs="Tahoma"/>
                                      <w:b/>
                                      <w:bCs/>
                                    </w:rPr>
                                  </w:pPr>
                                  <w:bookmarkStart w:id="89" w:name="_Hlk201847974"/>
                                  <w:r w:rsidRPr="00B81AB7">
                                    <w:rPr>
                                      <w:rFonts w:eastAsia="Aptos" w:cs="Tahoma"/>
                                      <w:b/>
                                      <w:bCs/>
                                    </w:rPr>
                                    <w:t>Region</w:t>
                                  </w:r>
                                </w:p>
                              </w:tc>
                              <w:tc>
                                <w:tcPr>
                                  <w:tcW w:w="4111" w:type="dxa"/>
                                  <w:tcBorders>
                                    <w:bottom w:val="single" w:sz="48" w:space="0" w:color="auto"/>
                                  </w:tcBorders>
                                  <w:shd w:val="clear" w:color="auto" w:fill="E8E8E8" w:themeFill="background2"/>
                                  <w:vAlign w:val="center"/>
                                </w:tcPr>
                                <w:p w14:paraId="63F908E7" w14:textId="77777777" w:rsidR="006730EE" w:rsidRPr="00B81AB7" w:rsidRDefault="006730EE" w:rsidP="00816D98">
                                  <w:pPr>
                                    <w:rPr>
                                      <w:rFonts w:eastAsia="Aptos" w:cs="Tahoma"/>
                                      <w:b/>
                                      <w:bCs/>
                                    </w:rPr>
                                  </w:pPr>
                                  <w:r w:rsidRPr="00B81AB7">
                                    <w:rPr>
                                      <w:rFonts w:eastAsia="Aptos" w:cs="Tahoma"/>
                                      <w:b/>
                                      <w:bCs/>
                                    </w:rPr>
                                    <w:t>HRLSC Intake Calls*</w:t>
                                  </w:r>
                                </w:p>
                              </w:tc>
                              <w:tc>
                                <w:tcPr>
                                  <w:tcW w:w="5103" w:type="dxa"/>
                                  <w:tcBorders>
                                    <w:bottom w:val="single" w:sz="48" w:space="0" w:color="auto"/>
                                  </w:tcBorders>
                                  <w:shd w:val="clear" w:color="auto" w:fill="E8E8E8" w:themeFill="background2"/>
                                  <w:vAlign w:val="center"/>
                                </w:tcPr>
                                <w:p w14:paraId="63D761C7" w14:textId="77777777" w:rsidR="006730EE" w:rsidRPr="00B81AB7" w:rsidRDefault="006730EE" w:rsidP="00816D98">
                                  <w:pPr>
                                    <w:rPr>
                                      <w:rFonts w:eastAsia="Aptos" w:cs="Tahoma"/>
                                      <w:b/>
                                      <w:bCs/>
                                    </w:rPr>
                                  </w:pPr>
                                  <w:r w:rsidRPr="00B81AB7">
                                    <w:rPr>
                                      <w:rFonts w:eastAsia="Aptos" w:cs="Tahoma"/>
                                      <w:b/>
                                      <w:bCs/>
                                    </w:rPr>
                                    <w:t>HRTO Applications**</w:t>
                                  </w:r>
                                </w:p>
                              </w:tc>
                            </w:tr>
                            <w:tr w:rsidR="006730EE" w:rsidRPr="00FB7D91" w14:paraId="70B72214" w14:textId="77777777" w:rsidTr="00816D98">
                              <w:tc>
                                <w:tcPr>
                                  <w:tcW w:w="3681" w:type="dxa"/>
                                  <w:tcBorders>
                                    <w:top w:val="single" w:sz="48" w:space="0" w:color="auto"/>
                                    <w:right w:val="single" w:sz="24" w:space="0" w:color="auto"/>
                                  </w:tcBorders>
                                  <w:vAlign w:val="center"/>
                                </w:tcPr>
                                <w:p w14:paraId="18CC213F" w14:textId="77777777" w:rsidR="006730EE" w:rsidRPr="00FB7D91" w:rsidRDefault="006730EE" w:rsidP="00816D98">
                                  <w:pPr>
                                    <w:rPr>
                                      <w:rFonts w:eastAsia="Aptos" w:cs="Tahoma"/>
                                    </w:rPr>
                                  </w:pPr>
                                  <w:r w:rsidRPr="00FB7D91">
                                    <w:rPr>
                                      <w:rFonts w:eastAsia="Aptos" w:cs="Tahoma"/>
                                    </w:rPr>
                                    <w:t>East</w:t>
                                  </w:r>
                                </w:p>
                              </w:tc>
                              <w:tc>
                                <w:tcPr>
                                  <w:tcW w:w="4111" w:type="dxa"/>
                                  <w:tcBorders>
                                    <w:top w:val="single" w:sz="48" w:space="0" w:color="auto"/>
                                    <w:left w:val="single" w:sz="24" w:space="0" w:color="auto"/>
                                  </w:tcBorders>
                                  <w:vAlign w:val="center"/>
                                </w:tcPr>
                                <w:p w14:paraId="6A241FDD" w14:textId="77777777" w:rsidR="006730EE" w:rsidRPr="00FB7D91" w:rsidRDefault="006730EE" w:rsidP="00816D98">
                                  <w:pPr>
                                    <w:rPr>
                                      <w:rFonts w:eastAsia="Aptos" w:cs="Tahoma"/>
                                    </w:rPr>
                                  </w:pPr>
                                  <w:r w:rsidRPr="00FB7D91">
                                    <w:rPr>
                                      <w:rFonts w:eastAsia="Aptos" w:cs="Tahoma"/>
                                    </w:rPr>
                                    <w:t>13%</w:t>
                                  </w:r>
                                </w:p>
                              </w:tc>
                              <w:tc>
                                <w:tcPr>
                                  <w:tcW w:w="5103" w:type="dxa"/>
                                  <w:tcBorders>
                                    <w:top w:val="single" w:sz="48" w:space="0" w:color="auto"/>
                                  </w:tcBorders>
                                  <w:vAlign w:val="center"/>
                                </w:tcPr>
                                <w:p w14:paraId="06E7410C" w14:textId="77777777" w:rsidR="006730EE" w:rsidRPr="00FB7D91" w:rsidRDefault="006730EE" w:rsidP="00816D98">
                                  <w:pPr>
                                    <w:rPr>
                                      <w:rFonts w:eastAsia="Aptos" w:cs="Tahoma"/>
                                    </w:rPr>
                                  </w:pPr>
                                  <w:r w:rsidRPr="00FB7D91">
                                    <w:rPr>
                                      <w:rFonts w:eastAsia="Aptos" w:cs="Tahoma"/>
                                    </w:rPr>
                                    <w:t>15%</w:t>
                                  </w:r>
                                </w:p>
                              </w:tc>
                            </w:tr>
                            <w:tr w:rsidR="006730EE" w:rsidRPr="00FB7D91" w14:paraId="3827D73D" w14:textId="77777777" w:rsidTr="00816D98">
                              <w:tc>
                                <w:tcPr>
                                  <w:tcW w:w="3681" w:type="dxa"/>
                                  <w:tcBorders>
                                    <w:right w:val="single" w:sz="24" w:space="0" w:color="auto"/>
                                  </w:tcBorders>
                                  <w:vAlign w:val="center"/>
                                </w:tcPr>
                                <w:p w14:paraId="3CA3465D" w14:textId="77777777" w:rsidR="006730EE" w:rsidRPr="00FB7D91" w:rsidRDefault="006730EE" w:rsidP="00816D98">
                                  <w:pPr>
                                    <w:rPr>
                                      <w:rFonts w:eastAsia="Aptos" w:cs="Tahoma"/>
                                    </w:rPr>
                                  </w:pPr>
                                  <w:r w:rsidRPr="00FB7D91">
                                    <w:rPr>
                                      <w:rFonts w:eastAsia="Aptos" w:cs="Tahoma"/>
                                    </w:rPr>
                                    <w:t>Central</w:t>
                                  </w:r>
                                </w:p>
                              </w:tc>
                              <w:tc>
                                <w:tcPr>
                                  <w:tcW w:w="4111" w:type="dxa"/>
                                  <w:tcBorders>
                                    <w:left w:val="single" w:sz="24" w:space="0" w:color="auto"/>
                                  </w:tcBorders>
                                  <w:vAlign w:val="center"/>
                                </w:tcPr>
                                <w:p w14:paraId="5ECF233E" w14:textId="77777777" w:rsidR="006730EE" w:rsidRPr="00FB7D91" w:rsidRDefault="006730EE" w:rsidP="00816D98">
                                  <w:pPr>
                                    <w:rPr>
                                      <w:rFonts w:eastAsia="Aptos" w:cs="Tahoma"/>
                                    </w:rPr>
                                  </w:pPr>
                                  <w:r w:rsidRPr="00FB7D91">
                                    <w:rPr>
                                      <w:rFonts w:eastAsia="Aptos" w:cs="Tahoma"/>
                                    </w:rPr>
                                    <w:t>31%</w:t>
                                  </w:r>
                                </w:p>
                              </w:tc>
                              <w:tc>
                                <w:tcPr>
                                  <w:tcW w:w="5103" w:type="dxa"/>
                                  <w:vAlign w:val="center"/>
                                </w:tcPr>
                                <w:p w14:paraId="4B87E9F9" w14:textId="77777777" w:rsidR="006730EE" w:rsidRPr="00FB7D91" w:rsidRDefault="006730EE" w:rsidP="00816D98">
                                  <w:pPr>
                                    <w:rPr>
                                      <w:rFonts w:eastAsia="Aptos" w:cs="Tahoma"/>
                                    </w:rPr>
                                  </w:pPr>
                                  <w:r w:rsidRPr="00FB7D91">
                                    <w:rPr>
                                      <w:rFonts w:eastAsia="Aptos" w:cs="Tahoma"/>
                                    </w:rPr>
                                    <w:t>34%</w:t>
                                  </w:r>
                                </w:p>
                              </w:tc>
                            </w:tr>
                            <w:tr w:rsidR="006730EE" w:rsidRPr="00FB7D91" w14:paraId="6B582CBA" w14:textId="77777777" w:rsidTr="00816D98">
                              <w:tc>
                                <w:tcPr>
                                  <w:tcW w:w="3681" w:type="dxa"/>
                                  <w:tcBorders>
                                    <w:right w:val="single" w:sz="24" w:space="0" w:color="auto"/>
                                  </w:tcBorders>
                                  <w:vAlign w:val="center"/>
                                </w:tcPr>
                                <w:p w14:paraId="6B791A92" w14:textId="77777777" w:rsidR="006730EE" w:rsidRPr="00FB7D91" w:rsidRDefault="006730EE" w:rsidP="00816D98">
                                  <w:pPr>
                                    <w:rPr>
                                      <w:rFonts w:eastAsia="Aptos" w:cs="Tahoma"/>
                                    </w:rPr>
                                  </w:pPr>
                                  <w:r w:rsidRPr="00FB7D91">
                                    <w:rPr>
                                      <w:rFonts w:eastAsia="Aptos" w:cs="Tahoma"/>
                                    </w:rPr>
                                    <w:t>Toronto</w:t>
                                  </w:r>
                                </w:p>
                              </w:tc>
                              <w:tc>
                                <w:tcPr>
                                  <w:tcW w:w="4111" w:type="dxa"/>
                                  <w:tcBorders>
                                    <w:left w:val="single" w:sz="24" w:space="0" w:color="auto"/>
                                  </w:tcBorders>
                                  <w:vAlign w:val="center"/>
                                </w:tcPr>
                                <w:p w14:paraId="1FFD43F5" w14:textId="77777777" w:rsidR="006730EE" w:rsidRPr="00FB7D91" w:rsidRDefault="006730EE" w:rsidP="00816D98">
                                  <w:pPr>
                                    <w:rPr>
                                      <w:rFonts w:eastAsia="Aptos" w:cs="Tahoma"/>
                                    </w:rPr>
                                  </w:pPr>
                                  <w:r w:rsidRPr="00FB7D91">
                                    <w:rPr>
                                      <w:rFonts w:eastAsia="Aptos" w:cs="Tahoma"/>
                                    </w:rPr>
                                    <w:t>30%</w:t>
                                  </w:r>
                                </w:p>
                              </w:tc>
                              <w:tc>
                                <w:tcPr>
                                  <w:tcW w:w="5103" w:type="dxa"/>
                                  <w:vAlign w:val="center"/>
                                </w:tcPr>
                                <w:p w14:paraId="5224DDA7" w14:textId="77777777" w:rsidR="006730EE" w:rsidRPr="00FB7D91" w:rsidRDefault="006730EE" w:rsidP="00816D98">
                                  <w:pPr>
                                    <w:rPr>
                                      <w:rFonts w:eastAsia="Aptos" w:cs="Tahoma"/>
                                    </w:rPr>
                                  </w:pPr>
                                  <w:r w:rsidRPr="00FB7D91">
                                    <w:rPr>
                                      <w:rFonts w:eastAsia="Aptos" w:cs="Tahoma"/>
                                    </w:rPr>
                                    <w:t>23%</w:t>
                                  </w:r>
                                </w:p>
                              </w:tc>
                            </w:tr>
                            <w:tr w:rsidR="006730EE" w:rsidRPr="00FB7D91" w14:paraId="688C1696" w14:textId="77777777" w:rsidTr="00816D98">
                              <w:tc>
                                <w:tcPr>
                                  <w:tcW w:w="3681" w:type="dxa"/>
                                  <w:tcBorders>
                                    <w:right w:val="single" w:sz="24" w:space="0" w:color="auto"/>
                                  </w:tcBorders>
                                  <w:vAlign w:val="center"/>
                                </w:tcPr>
                                <w:p w14:paraId="30B8CC57" w14:textId="77777777" w:rsidR="006730EE" w:rsidRPr="00FB7D91" w:rsidRDefault="006730EE" w:rsidP="00816D98">
                                  <w:pPr>
                                    <w:rPr>
                                      <w:rFonts w:eastAsia="Aptos" w:cs="Tahoma"/>
                                    </w:rPr>
                                  </w:pPr>
                                  <w:r w:rsidRPr="00FB7D91">
                                    <w:rPr>
                                      <w:rFonts w:eastAsia="Aptos" w:cs="Tahoma"/>
                                    </w:rPr>
                                    <w:t>Southwest</w:t>
                                  </w:r>
                                </w:p>
                              </w:tc>
                              <w:tc>
                                <w:tcPr>
                                  <w:tcW w:w="4111" w:type="dxa"/>
                                  <w:tcBorders>
                                    <w:left w:val="single" w:sz="24" w:space="0" w:color="auto"/>
                                  </w:tcBorders>
                                  <w:vAlign w:val="center"/>
                                </w:tcPr>
                                <w:p w14:paraId="3C83E751" w14:textId="77777777" w:rsidR="006730EE" w:rsidRPr="00FB7D91" w:rsidRDefault="006730EE" w:rsidP="00816D98">
                                  <w:pPr>
                                    <w:rPr>
                                      <w:rFonts w:eastAsia="Aptos" w:cs="Tahoma"/>
                                    </w:rPr>
                                  </w:pPr>
                                  <w:r w:rsidRPr="00FB7D91">
                                    <w:rPr>
                                      <w:rFonts w:eastAsia="Aptos" w:cs="Tahoma"/>
                                    </w:rPr>
                                    <w:t>17%</w:t>
                                  </w:r>
                                </w:p>
                              </w:tc>
                              <w:tc>
                                <w:tcPr>
                                  <w:tcW w:w="5103" w:type="dxa"/>
                                  <w:vAlign w:val="center"/>
                                </w:tcPr>
                                <w:p w14:paraId="2B4DF3BB" w14:textId="77777777" w:rsidR="006730EE" w:rsidRPr="00FB7D91" w:rsidRDefault="006730EE" w:rsidP="00816D98">
                                  <w:pPr>
                                    <w:rPr>
                                      <w:rFonts w:eastAsia="Aptos" w:cs="Tahoma"/>
                                    </w:rPr>
                                  </w:pPr>
                                  <w:r w:rsidRPr="00FB7D91">
                                    <w:rPr>
                                      <w:rFonts w:eastAsia="Aptos" w:cs="Tahoma"/>
                                    </w:rPr>
                                    <w:t>18%</w:t>
                                  </w:r>
                                </w:p>
                              </w:tc>
                            </w:tr>
                            <w:tr w:rsidR="006730EE" w:rsidRPr="00FB7D91" w14:paraId="1263E8A5" w14:textId="77777777" w:rsidTr="00816D98">
                              <w:tc>
                                <w:tcPr>
                                  <w:tcW w:w="3681" w:type="dxa"/>
                                  <w:tcBorders>
                                    <w:right w:val="single" w:sz="24" w:space="0" w:color="auto"/>
                                  </w:tcBorders>
                                  <w:vAlign w:val="center"/>
                                </w:tcPr>
                                <w:p w14:paraId="614B6789" w14:textId="77777777" w:rsidR="006730EE" w:rsidRPr="00FB7D91" w:rsidRDefault="006730EE" w:rsidP="00816D98">
                                  <w:pPr>
                                    <w:rPr>
                                      <w:rFonts w:eastAsia="Aptos" w:cs="Tahoma"/>
                                    </w:rPr>
                                  </w:pPr>
                                  <w:r w:rsidRPr="00FB7D91">
                                    <w:rPr>
                                      <w:rFonts w:eastAsia="Aptos" w:cs="Tahoma"/>
                                    </w:rPr>
                                    <w:t>North</w:t>
                                  </w:r>
                                </w:p>
                              </w:tc>
                              <w:tc>
                                <w:tcPr>
                                  <w:tcW w:w="4111" w:type="dxa"/>
                                  <w:tcBorders>
                                    <w:left w:val="single" w:sz="24" w:space="0" w:color="auto"/>
                                  </w:tcBorders>
                                  <w:vAlign w:val="center"/>
                                </w:tcPr>
                                <w:p w14:paraId="24CFD3F4" w14:textId="77777777" w:rsidR="006730EE" w:rsidRPr="00FB7D91" w:rsidRDefault="006730EE" w:rsidP="00816D98">
                                  <w:pPr>
                                    <w:rPr>
                                      <w:rFonts w:eastAsia="Aptos" w:cs="Tahoma"/>
                                    </w:rPr>
                                  </w:pPr>
                                  <w:r w:rsidRPr="00FB7D91">
                                    <w:rPr>
                                      <w:rFonts w:eastAsia="Aptos" w:cs="Tahoma"/>
                                    </w:rPr>
                                    <w:t>6%</w:t>
                                  </w:r>
                                </w:p>
                              </w:tc>
                              <w:tc>
                                <w:tcPr>
                                  <w:tcW w:w="5103" w:type="dxa"/>
                                  <w:vAlign w:val="center"/>
                                </w:tcPr>
                                <w:p w14:paraId="540301AB" w14:textId="77777777" w:rsidR="006730EE" w:rsidRPr="00FB7D91" w:rsidRDefault="006730EE" w:rsidP="00816D98">
                                  <w:pPr>
                                    <w:rPr>
                                      <w:rFonts w:eastAsia="Aptos" w:cs="Tahoma"/>
                                    </w:rPr>
                                  </w:pPr>
                                  <w:r w:rsidRPr="00FB7D91">
                                    <w:rPr>
                                      <w:rFonts w:eastAsia="Aptos" w:cs="Tahoma"/>
                                    </w:rPr>
                                    <w:t>6%</w:t>
                                  </w:r>
                                </w:p>
                              </w:tc>
                            </w:tr>
                            <w:tr w:rsidR="006730EE" w:rsidRPr="00FB7D91" w14:paraId="555A529E" w14:textId="77777777" w:rsidTr="00816D98">
                              <w:tc>
                                <w:tcPr>
                                  <w:tcW w:w="3681" w:type="dxa"/>
                                  <w:tcBorders>
                                    <w:right w:val="single" w:sz="24" w:space="0" w:color="auto"/>
                                  </w:tcBorders>
                                  <w:vAlign w:val="center"/>
                                </w:tcPr>
                                <w:p w14:paraId="1DE0CE85" w14:textId="77777777" w:rsidR="006730EE" w:rsidRPr="00FB7D91" w:rsidRDefault="006730EE" w:rsidP="00816D98">
                                  <w:pPr>
                                    <w:rPr>
                                      <w:rFonts w:eastAsia="Aptos" w:cs="Tahoma"/>
                                    </w:rPr>
                                  </w:pPr>
                                  <w:r w:rsidRPr="00FB7D91">
                                    <w:rPr>
                                      <w:rFonts w:eastAsia="Aptos" w:cs="Tahoma"/>
                                    </w:rPr>
                                    <w:t>Other***</w:t>
                                  </w:r>
                                </w:p>
                              </w:tc>
                              <w:tc>
                                <w:tcPr>
                                  <w:tcW w:w="4111" w:type="dxa"/>
                                  <w:tcBorders>
                                    <w:left w:val="single" w:sz="24" w:space="0" w:color="auto"/>
                                  </w:tcBorders>
                                  <w:vAlign w:val="center"/>
                                </w:tcPr>
                                <w:p w14:paraId="545F9038" w14:textId="77777777" w:rsidR="006730EE" w:rsidRPr="00FB7D91" w:rsidRDefault="006730EE" w:rsidP="00816D98">
                                  <w:pPr>
                                    <w:rPr>
                                      <w:rFonts w:eastAsia="Aptos" w:cs="Tahoma"/>
                                    </w:rPr>
                                  </w:pPr>
                                  <w:r w:rsidRPr="00FB7D91">
                                    <w:rPr>
                                      <w:rFonts w:eastAsia="Aptos" w:cs="Tahoma"/>
                                    </w:rPr>
                                    <w:t>3%</w:t>
                                  </w:r>
                                </w:p>
                              </w:tc>
                              <w:tc>
                                <w:tcPr>
                                  <w:tcW w:w="5103" w:type="dxa"/>
                                  <w:vAlign w:val="center"/>
                                </w:tcPr>
                                <w:p w14:paraId="712C8E41" w14:textId="77777777" w:rsidR="006730EE" w:rsidRPr="00FB7D91" w:rsidRDefault="006730EE" w:rsidP="00816D98">
                                  <w:pPr>
                                    <w:rPr>
                                      <w:rFonts w:eastAsia="Aptos" w:cs="Tahoma"/>
                                    </w:rPr>
                                  </w:pPr>
                                  <w:r w:rsidRPr="00FB7D91">
                                    <w:rPr>
                                      <w:rFonts w:eastAsia="Aptos" w:cs="Tahoma"/>
                                    </w:rPr>
                                    <w:t>4%</w:t>
                                  </w:r>
                                </w:p>
                              </w:tc>
                            </w:tr>
                            <w:tr w:rsidR="006730EE" w:rsidRPr="00FB7D91" w14:paraId="3AAAADA0" w14:textId="77777777" w:rsidTr="00EB245F">
                              <w:tc>
                                <w:tcPr>
                                  <w:tcW w:w="12895" w:type="dxa"/>
                                  <w:gridSpan w:val="3"/>
                                </w:tcPr>
                                <w:p w14:paraId="05204CBF" w14:textId="77777777" w:rsidR="006730EE" w:rsidRPr="00FB7D91" w:rsidRDefault="006730EE" w:rsidP="006730EE">
                                  <w:pPr>
                                    <w:rPr>
                                      <w:rFonts w:eastAsia="Aptos" w:cs="Tahoma"/>
                                      <w:sz w:val="20"/>
                                      <w:szCs w:val="20"/>
                                    </w:rPr>
                                  </w:pPr>
                                  <w:r w:rsidRPr="00FB7D91">
                                    <w:rPr>
                                      <w:rFonts w:eastAsia="Aptos" w:cs="Tahoma"/>
                                      <w:sz w:val="20"/>
                                      <w:szCs w:val="20"/>
                                    </w:rPr>
                                    <w:t>*Percentages calculated based on 24,472 intake calls</w:t>
                                  </w:r>
                                </w:p>
                                <w:p w14:paraId="432CEA97" w14:textId="77777777" w:rsidR="006730EE" w:rsidRPr="00FB7D91" w:rsidRDefault="006730EE" w:rsidP="006730EE">
                                  <w:pPr>
                                    <w:rPr>
                                      <w:rFonts w:eastAsia="Aptos" w:cs="Tahoma"/>
                                      <w:sz w:val="20"/>
                                      <w:szCs w:val="20"/>
                                    </w:rPr>
                                  </w:pPr>
                                  <w:r w:rsidRPr="00FB7D91">
                                    <w:rPr>
                                      <w:rFonts w:eastAsia="Aptos" w:cs="Tahoma"/>
                                      <w:sz w:val="20"/>
                                      <w:szCs w:val="20"/>
                                    </w:rPr>
                                    <w:t xml:space="preserve">**Percentages calculated based on 3,639 applications in 2023–2024; full year data for 2024–2025 was not available at the time of this writing. Source: </w:t>
                                  </w:r>
                                  <w:hyperlink r:id="rId44" w:anchor="panel6" w:history="1">
                                    <w:r w:rsidRPr="00FB7D91">
                                      <w:rPr>
                                        <w:rFonts w:eastAsia="Aptos" w:cs="Tahoma"/>
                                        <w:color w:val="467886"/>
                                        <w:sz w:val="20"/>
                                        <w:szCs w:val="20"/>
                                        <w:u w:val="single"/>
                                      </w:rPr>
                                      <w:t>HRTO Open Data – Applications Received – Region</w:t>
                                    </w:r>
                                  </w:hyperlink>
                                </w:p>
                                <w:p w14:paraId="2D308D54" w14:textId="77777777" w:rsidR="006730EE" w:rsidRPr="00FB7D91" w:rsidRDefault="006730EE" w:rsidP="006730EE">
                                  <w:pPr>
                                    <w:rPr>
                                      <w:rFonts w:eastAsia="Aptos" w:cs="Tahoma"/>
                                      <w:sz w:val="28"/>
                                      <w:szCs w:val="28"/>
                                    </w:rPr>
                                  </w:pPr>
                                  <w:r w:rsidRPr="00FB7D91">
                                    <w:rPr>
                                      <w:rFonts w:eastAsia="Aptos" w:cs="Tahoma"/>
                                      <w:sz w:val="20"/>
                                      <w:szCs w:val="20"/>
                                    </w:rPr>
                                    <w:t xml:space="preserve">*** “Other” includes instances when regional information is unknown, not provided, when the caller or applicant is from another province/territory, etc. </w:t>
                                  </w:r>
                                </w:p>
                              </w:tc>
                            </w:tr>
                            <w:bookmarkEnd w:id="89"/>
                          </w:tbl>
                          <w:p w14:paraId="40D3B25C" w14:textId="77777777" w:rsidR="006730EE" w:rsidRPr="00FB7D91" w:rsidRDefault="006730EE" w:rsidP="006730EE">
                            <w:pPr>
                              <w:rPr>
                                <w:rFonts w:cs="Tahoma"/>
                              </w:rPr>
                            </w:pPr>
                          </w:p>
                        </w:txbxContent>
                      </wps:txbx>
                      <wps:bodyPr rot="0" vert="horz" wrap="square" lIns="91440" tIns="45720" rIns="91440" bIns="45720" anchor="t" anchorCtr="0">
                        <a:noAutofit/>
                      </wps:bodyPr>
                    </wps:wsp>
                  </a:graphicData>
                </a:graphic>
              </wp:anchor>
            </w:drawing>
          </mc:Choice>
          <mc:Fallback>
            <w:pict>
              <v:shape w14:anchorId="2441B18C" id="_x0000_s1030" type="#_x0000_t202" style="position:absolute;margin-left:-1.2pt;margin-top:259.35pt;width:9in;height:207.65pt;z-index:251701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" filled="f" strokecolor="white [3212]">
                <v:textbox>
                  <w:txbxContent>
                    <w:p w14:paraId="3211A55E" w14:textId="77777777" w:rsidR="006730EE" w:rsidRPr="00FB7D91" w:rsidRDefault="006730EE" w:rsidP="006730EE">
                      <w:pPr>
                        <w:pStyle w:val="Heading4"/>
                        <w:rPr>
                          <w:rFonts w:cs="Tahoma"/>
                        </w:rPr>
                      </w:pPr>
                      <w:r w:rsidRPr="00FB7D91">
                        <w:rPr>
                          <w:rFonts w:cs="Tahoma"/>
                        </w:rPr>
                        <w:t>HRLSC/HRTO Regional Comparison:</w:t>
                      </w:r>
                    </w:p>
                    <w:tbl>
                      <w:tblPr>
                        <w:tblStyle w:val="TableGrid"/>
                        <w:tblW w:w="0" w:type="auto"/>
                        <w:tblLook w:val="04A0" w:firstRow="1" w:lastRow="0" w:firstColumn="1" w:lastColumn="0" w:noHBand="0" w:noVBand="1"/>
                      </w:tblPr>
                      <w:tblGrid>
                        <w:gridCol w:w="3617"/>
                        <w:gridCol w:w="4027"/>
                        <w:gridCol w:w="5019"/>
                      </w:tblGrid>
                      <w:tr w:rsidR="006730EE" w:rsidRPr="00FB7D91" w14:paraId="58CF03A8" w14:textId="77777777" w:rsidTr="00816D98">
                        <w:tc>
                          <w:tcPr>
                            <w:tcW w:w="3681" w:type="dxa"/>
                            <w:tcBorders>
                              <w:bottom w:val="single" w:sz="48" w:space="0" w:color="auto"/>
                            </w:tcBorders>
                            <w:shd w:val="clear" w:color="auto" w:fill="E8E8E8" w:themeFill="background2"/>
                            <w:vAlign w:val="center"/>
                          </w:tcPr>
                          <w:p w14:paraId="6A01D945" w14:textId="77777777" w:rsidR="006730EE" w:rsidRPr="00B81AB7" w:rsidRDefault="006730EE" w:rsidP="00816D98">
                            <w:pPr>
                              <w:rPr>
                                <w:rFonts w:eastAsia="Aptos" w:cs="Tahoma"/>
                                <w:b/>
                                <w:bCs/>
                              </w:rPr>
                            </w:pPr>
                            <w:bookmarkStart w:id="90" w:name="_Hlk201847974"/>
                            <w:r w:rsidRPr="00B81AB7">
                              <w:rPr>
                                <w:rFonts w:eastAsia="Aptos" w:cs="Tahoma"/>
                                <w:b/>
                                <w:bCs/>
                              </w:rPr>
                              <w:t>Region</w:t>
                            </w:r>
                          </w:p>
                        </w:tc>
                        <w:tc>
                          <w:tcPr>
                            <w:tcW w:w="4111" w:type="dxa"/>
                            <w:tcBorders>
                              <w:bottom w:val="single" w:sz="48" w:space="0" w:color="auto"/>
                            </w:tcBorders>
                            <w:shd w:val="clear" w:color="auto" w:fill="E8E8E8" w:themeFill="background2"/>
                            <w:vAlign w:val="center"/>
                          </w:tcPr>
                          <w:p w14:paraId="63F908E7" w14:textId="77777777" w:rsidR="006730EE" w:rsidRPr="00B81AB7" w:rsidRDefault="006730EE" w:rsidP="00816D98">
                            <w:pPr>
                              <w:rPr>
                                <w:rFonts w:eastAsia="Aptos" w:cs="Tahoma"/>
                                <w:b/>
                                <w:bCs/>
                              </w:rPr>
                            </w:pPr>
                            <w:r w:rsidRPr="00B81AB7">
                              <w:rPr>
                                <w:rFonts w:eastAsia="Aptos" w:cs="Tahoma"/>
                                <w:b/>
                                <w:bCs/>
                              </w:rPr>
                              <w:t>HRLSC Intake Calls*</w:t>
                            </w:r>
                          </w:p>
                        </w:tc>
                        <w:tc>
                          <w:tcPr>
                            <w:tcW w:w="5103" w:type="dxa"/>
                            <w:tcBorders>
                              <w:bottom w:val="single" w:sz="48" w:space="0" w:color="auto"/>
                            </w:tcBorders>
                            <w:shd w:val="clear" w:color="auto" w:fill="E8E8E8" w:themeFill="background2"/>
                            <w:vAlign w:val="center"/>
                          </w:tcPr>
                          <w:p w14:paraId="63D761C7" w14:textId="77777777" w:rsidR="006730EE" w:rsidRPr="00B81AB7" w:rsidRDefault="006730EE" w:rsidP="00816D98">
                            <w:pPr>
                              <w:rPr>
                                <w:rFonts w:eastAsia="Aptos" w:cs="Tahoma"/>
                                <w:b/>
                                <w:bCs/>
                              </w:rPr>
                            </w:pPr>
                            <w:r w:rsidRPr="00B81AB7">
                              <w:rPr>
                                <w:rFonts w:eastAsia="Aptos" w:cs="Tahoma"/>
                                <w:b/>
                                <w:bCs/>
                              </w:rPr>
                              <w:t>HRTO Applications**</w:t>
                            </w:r>
                          </w:p>
                        </w:tc>
                      </w:tr>
                      <w:tr w:rsidR="006730EE" w:rsidRPr="00FB7D91" w14:paraId="70B72214" w14:textId="77777777" w:rsidTr="00816D98">
                        <w:tc>
                          <w:tcPr>
                            <w:tcW w:w="3681" w:type="dxa"/>
                            <w:tcBorders>
                              <w:top w:val="single" w:sz="48" w:space="0" w:color="auto"/>
                              <w:right w:val="single" w:sz="24" w:space="0" w:color="auto"/>
                            </w:tcBorders>
                            <w:vAlign w:val="center"/>
                          </w:tcPr>
                          <w:p w14:paraId="18CC213F" w14:textId="77777777" w:rsidR="006730EE" w:rsidRPr="00FB7D91" w:rsidRDefault="006730EE" w:rsidP="00816D98">
                            <w:pPr>
                              <w:rPr>
                                <w:rFonts w:eastAsia="Aptos" w:cs="Tahoma"/>
                              </w:rPr>
                            </w:pPr>
                            <w:r w:rsidRPr="00FB7D91">
                              <w:rPr>
                                <w:rFonts w:eastAsia="Aptos" w:cs="Tahoma"/>
                              </w:rPr>
                              <w:t>East</w:t>
                            </w:r>
                          </w:p>
                        </w:tc>
                        <w:tc>
                          <w:tcPr>
                            <w:tcW w:w="4111" w:type="dxa"/>
                            <w:tcBorders>
                              <w:top w:val="single" w:sz="48" w:space="0" w:color="auto"/>
                              <w:left w:val="single" w:sz="24" w:space="0" w:color="auto"/>
                            </w:tcBorders>
                            <w:vAlign w:val="center"/>
                          </w:tcPr>
                          <w:p w14:paraId="6A241FDD" w14:textId="77777777" w:rsidR="006730EE" w:rsidRPr="00FB7D91" w:rsidRDefault="006730EE" w:rsidP="00816D98">
                            <w:pPr>
                              <w:rPr>
                                <w:rFonts w:eastAsia="Aptos" w:cs="Tahoma"/>
                              </w:rPr>
                            </w:pPr>
                            <w:r w:rsidRPr="00FB7D91">
                              <w:rPr>
                                <w:rFonts w:eastAsia="Aptos" w:cs="Tahoma"/>
                              </w:rPr>
                              <w:t>13%</w:t>
                            </w:r>
                          </w:p>
                        </w:tc>
                        <w:tc>
                          <w:tcPr>
                            <w:tcW w:w="5103" w:type="dxa"/>
                            <w:tcBorders>
                              <w:top w:val="single" w:sz="48" w:space="0" w:color="auto"/>
                            </w:tcBorders>
                            <w:vAlign w:val="center"/>
                          </w:tcPr>
                          <w:p w14:paraId="06E7410C" w14:textId="77777777" w:rsidR="006730EE" w:rsidRPr="00FB7D91" w:rsidRDefault="006730EE" w:rsidP="00816D98">
                            <w:pPr>
                              <w:rPr>
                                <w:rFonts w:eastAsia="Aptos" w:cs="Tahoma"/>
                              </w:rPr>
                            </w:pPr>
                            <w:r w:rsidRPr="00FB7D91">
                              <w:rPr>
                                <w:rFonts w:eastAsia="Aptos" w:cs="Tahoma"/>
                              </w:rPr>
                              <w:t>15%</w:t>
                            </w:r>
                          </w:p>
                        </w:tc>
                      </w:tr>
                      <w:tr w:rsidR="006730EE" w:rsidRPr="00FB7D91" w14:paraId="3827D73D" w14:textId="77777777" w:rsidTr="00816D98">
                        <w:tc>
                          <w:tcPr>
                            <w:tcW w:w="3681" w:type="dxa"/>
                            <w:tcBorders>
                              <w:right w:val="single" w:sz="24" w:space="0" w:color="auto"/>
                            </w:tcBorders>
                            <w:vAlign w:val="center"/>
                          </w:tcPr>
                          <w:p w14:paraId="3CA3465D" w14:textId="77777777" w:rsidR="006730EE" w:rsidRPr="00FB7D91" w:rsidRDefault="006730EE" w:rsidP="00816D98">
                            <w:pPr>
                              <w:rPr>
                                <w:rFonts w:eastAsia="Aptos" w:cs="Tahoma"/>
                              </w:rPr>
                            </w:pPr>
                            <w:r w:rsidRPr="00FB7D91">
                              <w:rPr>
                                <w:rFonts w:eastAsia="Aptos" w:cs="Tahoma"/>
                              </w:rPr>
                              <w:t>Central</w:t>
                            </w:r>
                          </w:p>
                        </w:tc>
                        <w:tc>
                          <w:tcPr>
                            <w:tcW w:w="4111" w:type="dxa"/>
                            <w:tcBorders>
                              <w:left w:val="single" w:sz="24" w:space="0" w:color="auto"/>
                            </w:tcBorders>
                            <w:vAlign w:val="center"/>
                          </w:tcPr>
                          <w:p w14:paraId="5ECF233E" w14:textId="77777777" w:rsidR="006730EE" w:rsidRPr="00FB7D91" w:rsidRDefault="006730EE" w:rsidP="00816D98">
                            <w:pPr>
                              <w:rPr>
                                <w:rFonts w:eastAsia="Aptos" w:cs="Tahoma"/>
                              </w:rPr>
                            </w:pPr>
                            <w:r w:rsidRPr="00FB7D91">
                              <w:rPr>
                                <w:rFonts w:eastAsia="Aptos" w:cs="Tahoma"/>
                              </w:rPr>
                              <w:t>31%</w:t>
                            </w:r>
                          </w:p>
                        </w:tc>
                        <w:tc>
                          <w:tcPr>
                            <w:tcW w:w="5103" w:type="dxa"/>
                            <w:vAlign w:val="center"/>
                          </w:tcPr>
                          <w:p w14:paraId="4B87E9F9" w14:textId="77777777" w:rsidR="006730EE" w:rsidRPr="00FB7D91" w:rsidRDefault="006730EE" w:rsidP="00816D98">
                            <w:pPr>
                              <w:rPr>
                                <w:rFonts w:eastAsia="Aptos" w:cs="Tahoma"/>
                              </w:rPr>
                            </w:pPr>
                            <w:r w:rsidRPr="00FB7D91">
                              <w:rPr>
                                <w:rFonts w:eastAsia="Aptos" w:cs="Tahoma"/>
                              </w:rPr>
                              <w:t>34%</w:t>
                            </w:r>
                          </w:p>
                        </w:tc>
                      </w:tr>
                      <w:tr w:rsidR="006730EE" w:rsidRPr="00FB7D91" w14:paraId="6B582CBA" w14:textId="77777777" w:rsidTr="00816D98">
                        <w:tc>
                          <w:tcPr>
                            <w:tcW w:w="3681" w:type="dxa"/>
                            <w:tcBorders>
                              <w:right w:val="single" w:sz="24" w:space="0" w:color="auto"/>
                            </w:tcBorders>
                            <w:vAlign w:val="center"/>
                          </w:tcPr>
                          <w:p w14:paraId="6B791A92" w14:textId="77777777" w:rsidR="006730EE" w:rsidRPr="00FB7D91" w:rsidRDefault="006730EE" w:rsidP="00816D98">
                            <w:pPr>
                              <w:rPr>
                                <w:rFonts w:eastAsia="Aptos" w:cs="Tahoma"/>
                              </w:rPr>
                            </w:pPr>
                            <w:r w:rsidRPr="00FB7D91">
                              <w:rPr>
                                <w:rFonts w:eastAsia="Aptos" w:cs="Tahoma"/>
                              </w:rPr>
                              <w:t>Toronto</w:t>
                            </w:r>
                          </w:p>
                        </w:tc>
                        <w:tc>
                          <w:tcPr>
                            <w:tcW w:w="4111" w:type="dxa"/>
                            <w:tcBorders>
                              <w:left w:val="single" w:sz="24" w:space="0" w:color="auto"/>
                            </w:tcBorders>
                            <w:vAlign w:val="center"/>
                          </w:tcPr>
                          <w:p w14:paraId="1FFD43F5" w14:textId="77777777" w:rsidR="006730EE" w:rsidRPr="00FB7D91" w:rsidRDefault="006730EE" w:rsidP="00816D98">
                            <w:pPr>
                              <w:rPr>
                                <w:rFonts w:eastAsia="Aptos" w:cs="Tahoma"/>
                              </w:rPr>
                            </w:pPr>
                            <w:r w:rsidRPr="00FB7D91">
                              <w:rPr>
                                <w:rFonts w:eastAsia="Aptos" w:cs="Tahoma"/>
                              </w:rPr>
                              <w:t>30%</w:t>
                            </w:r>
                          </w:p>
                        </w:tc>
                        <w:tc>
                          <w:tcPr>
                            <w:tcW w:w="5103" w:type="dxa"/>
                            <w:vAlign w:val="center"/>
                          </w:tcPr>
                          <w:p w14:paraId="5224DDA7" w14:textId="77777777" w:rsidR="006730EE" w:rsidRPr="00FB7D91" w:rsidRDefault="006730EE" w:rsidP="00816D98">
                            <w:pPr>
                              <w:rPr>
                                <w:rFonts w:eastAsia="Aptos" w:cs="Tahoma"/>
                              </w:rPr>
                            </w:pPr>
                            <w:r w:rsidRPr="00FB7D91">
                              <w:rPr>
                                <w:rFonts w:eastAsia="Aptos" w:cs="Tahoma"/>
                              </w:rPr>
                              <w:t>23%</w:t>
                            </w:r>
                          </w:p>
                        </w:tc>
                      </w:tr>
                      <w:tr w:rsidR="006730EE" w:rsidRPr="00FB7D91" w14:paraId="688C1696" w14:textId="77777777" w:rsidTr="00816D98">
                        <w:tc>
                          <w:tcPr>
                            <w:tcW w:w="3681" w:type="dxa"/>
                            <w:tcBorders>
                              <w:right w:val="single" w:sz="24" w:space="0" w:color="auto"/>
                            </w:tcBorders>
                            <w:vAlign w:val="center"/>
                          </w:tcPr>
                          <w:p w14:paraId="30B8CC57" w14:textId="77777777" w:rsidR="006730EE" w:rsidRPr="00FB7D91" w:rsidRDefault="006730EE" w:rsidP="00816D98">
                            <w:pPr>
                              <w:rPr>
                                <w:rFonts w:eastAsia="Aptos" w:cs="Tahoma"/>
                              </w:rPr>
                            </w:pPr>
                            <w:r w:rsidRPr="00FB7D91">
                              <w:rPr>
                                <w:rFonts w:eastAsia="Aptos" w:cs="Tahoma"/>
                              </w:rPr>
                              <w:t>Southwest</w:t>
                            </w:r>
                          </w:p>
                        </w:tc>
                        <w:tc>
                          <w:tcPr>
                            <w:tcW w:w="4111" w:type="dxa"/>
                            <w:tcBorders>
                              <w:left w:val="single" w:sz="24" w:space="0" w:color="auto"/>
                            </w:tcBorders>
                            <w:vAlign w:val="center"/>
                          </w:tcPr>
                          <w:p w14:paraId="3C83E751" w14:textId="77777777" w:rsidR="006730EE" w:rsidRPr="00FB7D91" w:rsidRDefault="006730EE" w:rsidP="00816D98">
                            <w:pPr>
                              <w:rPr>
                                <w:rFonts w:eastAsia="Aptos" w:cs="Tahoma"/>
                              </w:rPr>
                            </w:pPr>
                            <w:r w:rsidRPr="00FB7D91">
                              <w:rPr>
                                <w:rFonts w:eastAsia="Aptos" w:cs="Tahoma"/>
                              </w:rPr>
                              <w:t>17%</w:t>
                            </w:r>
                          </w:p>
                        </w:tc>
                        <w:tc>
                          <w:tcPr>
                            <w:tcW w:w="5103" w:type="dxa"/>
                            <w:vAlign w:val="center"/>
                          </w:tcPr>
                          <w:p w14:paraId="2B4DF3BB" w14:textId="77777777" w:rsidR="006730EE" w:rsidRPr="00FB7D91" w:rsidRDefault="006730EE" w:rsidP="00816D98">
                            <w:pPr>
                              <w:rPr>
                                <w:rFonts w:eastAsia="Aptos" w:cs="Tahoma"/>
                              </w:rPr>
                            </w:pPr>
                            <w:r w:rsidRPr="00FB7D91">
                              <w:rPr>
                                <w:rFonts w:eastAsia="Aptos" w:cs="Tahoma"/>
                              </w:rPr>
                              <w:t>18%</w:t>
                            </w:r>
                          </w:p>
                        </w:tc>
                      </w:tr>
                      <w:tr w:rsidR="006730EE" w:rsidRPr="00FB7D91" w14:paraId="1263E8A5" w14:textId="77777777" w:rsidTr="00816D98">
                        <w:tc>
                          <w:tcPr>
                            <w:tcW w:w="3681" w:type="dxa"/>
                            <w:tcBorders>
                              <w:right w:val="single" w:sz="24" w:space="0" w:color="auto"/>
                            </w:tcBorders>
                            <w:vAlign w:val="center"/>
                          </w:tcPr>
                          <w:p w14:paraId="614B6789" w14:textId="77777777" w:rsidR="006730EE" w:rsidRPr="00FB7D91" w:rsidRDefault="006730EE" w:rsidP="00816D98">
                            <w:pPr>
                              <w:rPr>
                                <w:rFonts w:eastAsia="Aptos" w:cs="Tahoma"/>
                              </w:rPr>
                            </w:pPr>
                            <w:r w:rsidRPr="00FB7D91">
                              <w:rPr>
                                <w:rFonts w:eastAsia="Aptos" w:cs="Tahoma"/>
                              </w:rPr>
                              <w:t>North</w:t>
                            </w:r>
                          </w:p>
                        </w:tc>
                        <w:tc>
                          <w:tcPr>
                            <w:tcW w:w="4111" w:type="dxa"/>
                            <w:tcBorders>
                              <w:left w:val="single" w:sz="24" w:space="0" w:color="auto"/>
                            </w:tcBorders>
                            <w:vAlign w:val="center"/>
                          </w:tcPr>
                          <w:p w14:paraId="24CFD3F4" w14:textId="77777777" w:rsidR="006730EE" w:rsidRPr="00FB7D91" w:rsidRDefault="006730EE" w:rsidP="00816D98">
                            <w:pPr>
                              <w:rPr>
                                <w:rFonts w:eastAsia="Aptos" w:cs="Tahoma"/>
                              </w:rPr>
                            </w:pPr>
                            <w:r w:rsidRPr="00FB7D91">
                              <w:rPr>
                                <w:rFonts w:eastAsia="Aptos" w:cs="Tahoma"/>
                              </w:rPr>
                              <w:t>6%</w:t>
                            </w:r>
                          </w:p>
                        </w:tc>
                        <w:tc>
                          <w:tcPr>
                            <w:tcW w:w="5103" w:type="dxa"/>
                            <w:vAlign w:val="center"/>
                          </w:tcPr>
                          <w:p w14:paraId="540301AB" w14:textId="77777777" w:rsidR="006730EE" w:rsidRPr="00FB7D91" w:rsidRDefault="006730EE" w:rsidP="00816D98">
                            <w:pPr>
                              <w:rPr>
                                <w:rFonts w:eastAsia="Aptos" w:cs="Tahoma"/>
                              </w:rPr>
                            </w:pPr>
                            <w:r w:rsidRPr="00FB7D91">
                              <w:rPr>
                                <w:rFonts w:eastAsia="Aptos" w:cs="Tahoma"/>
                              </w:rPr>
                              <w:t>6%</w:t>
                            </w:r>
                          </w:p>
                        </w:tc>
                      </w:tr>
                      <w:tr w:rsidR="006730EE" w:rsidRPr="00FB7D91" w14:paraId="555A529E" w14:textId="77777777" w:rsidTr="00816D98">
                        <w:tc>
                          <w:tcPr>
                            <w:tcW w:w="3681" w:type="dxa"/>
                            <w:tcBorders>
                              <w:right w:val="single" w:sz="24" w:space="0" w:color="auto"/>
                            </w:tcBorders>
                            <w:vAlign w:val="center"/>
                          </w:tcPr>
                          <w:p w14:paraId="1DE0CE85" w14:textId="77777777" w:rsidR="006730EE" w:rsidRPr="00FB7D91" w:rsidRDefault="006730EE" w:rsidP="00816D98">
                            <w:pPr>
                              <w:rPr>
                                <w:rFonts w:eastAsia="Aptos" w:cs="Tahoma"/>
                              </w:rPr>
                            </w:pPr>
                            <w:r w:rsidRPr="00FB7D91">
                              <w:rPr>
                                <w:rFonts w:eastAsia="Aptos" w:cs="Tahoma"/>
                              </w:rPr>
                              <w:t>Other***</w:t>
                            </w:r>
                          </w:p>
                        </w:tc>
                        <w:tc>
                          <w:tcPr>
                            <w:tcW w:w="4111" w:type="dxa"/>
                            <w:tcBorders>
                              <w:left w:val="single" w:sz="24" w:space="0" w:color="auto"/>
                            </w:tcBorders>
                            <w:vAlign w:val="center"/>
                          </w:tcPr>
                          <w:p w14:paraId="545F9038" w14:textId="77777777" w:rsidR="006730EE" w:rsidRPr="00FB7D91" w:rsidRDefault="006730EE" w:rsidP="00816D98">
                            <w:pPr>
                              <w:rPr>
                                <w:rFonts w:eastAsia="Aptos" w:cs="Tahoma"/>
                              </w:rPr>
                            </w:pPr>
                            <w:r w:rsidRPr="00FB7D91">
                              <w:rPr>
                                <w:rFonts w:eastAsia="Aptos" w:cs="Tahoma"/>
                              </w:rPr>
                              <w:t>3%</w:t>
                            </w:r>
                          </w:p>
                        </w:tc>
                        <w:tc>
                          <w:tcPr>
                            <w:tcW w:w="5103" w:type="dxa"/>
                            <w:vAlign w:val="center"/>
                          </w:tcPr>
                          <w:p w14:paraId="712C8E41" w14:textId="77777777" w:rsidR="006730EE" w:rsidRPr="00FB7D91" w:rsidRDefault="006730EE" w:rsidP="00816D98">
                            <w:pPr>
                              <w:rPr>
                                <w:rFonts w:eastAsia="Aptos" w:cs="Tahoma"/>
                              </w:rPr>
                            </w:pPr>
                            <w:r w:rsidRPr="00FB7D91">
                              <w:rPr>
                                <w:rFonts w:eastAsia="Aptos" w:cs="Tahoma"/>
                              </w:rPr>
                              <w:t>4%</w:t>
                            </w:r>
                          </w:p>
                        </w:tc>
                      </w:tr>
                      <w:tr w:rsidR="006730EE" w:rsidRPr="00FB7D91" w14:paraId="3AAAADA0" w14:textId="77777777" w:rsidTr="00EB245F">
                        <w:tc>
                          <w:tcPr>
                            <w:tcW w:w="12895" w:type="dxa"/>
                            <w:gridSpan w:val="3"/>
                          </w:tcPr>
                          <w:p w14:paraId="05204CBF" w14:textId="77777777" w:rsidR="006730EE" w:rsidRPr="00FB7D91" w:rsidRDefault="006730EE" w:rsidP="006730EE">
                            <w:pPr>
                              <w:rPr>
                                <w:rFonts w:eastAsia="Aptos" w:cs="Tahoma"/>
                                <w:sz w:val="20"/>
                                <w:szCs w:val="20"/>
                              </w:rPr>
                            </w:pPr>
                            <w:r w:rsidRPr="00FB7D91">
                              <w:rPr>
                                <w:rFonts w:eastAsia="Aptos" w:cs="Tahoma"/>
                                <w:sz w:val="20"/>
                                <w:szCs w:val="20"/>
                              </w:rPr>
                              <w:t>*Percentages calculated based on 24,472 intake calls</w:t>
                            </w:r>
                          </w:p>
                          <w:p w14:paraId="432CEA97" w14:textId="77777777" w:rsidR="006730EE" w:rsidRPr="00FB7D91" w:rsidRDefault="006730EE" w:rsidP="006730EE">
                            <w:pPr>
                              <w:rPr>
                                <w:rFonts w:eastAsia="Aptos" w:cs="Tahoma"/>
                                <w:sz w:val="20"/>
                                <w:szCs w:val="20"/>
                              </w:rPr>
                            </w:pPr>
                            <w:r w:rsidRPr="00FB7D91">
                              <w:rPr>
                                <w:rFonts w:eastAsia="Aptos" w:cs="Tahoma"/>
                                <w:sz w:val="20"/>
                                <w:szCs w:val="20"/>
                              </w:rPr>
                              <w:t xml:space="preserve">**Percentages calculated based on 3,639 applications in 2023–2024; full year data for 2024–2025 was not available at the time of this writing. Source: </w:t>
                            </w:r>
                            <w:hyperlink r:id="rId45" w:anchor="panel6" w:history="1">
                              <w:r w:rsidRPr="00FB7D91">
                                <w:rPr>
                                  <w:rFonts w:eastAsia="Aptos" w:cs="Tahoma"/>
                                  <w:color w:val="467886"/>
                                  <w:sz w:val="20"/>
                                  <w:szCs w:val="20"/>
                                  <w:u w:val="single"/>
                                </w:rPr>
                                <w:t>HRTO Open Data – Applications Received – Region</w:t>
                              </w:r>
                            </w:hyperlink>
                          </w:p>
                          <w:p w14:paraId="2D308D54" w14:textId="77777777" w:rsidR="006730EE" w:rsidRPr="00FB7D91" w:rsidRDefault="006730EE" w:rsidP="006730EE">
                            <w:pPr>
                              <w:rPr>
                                <w:rFonts w:eastAsia="Aptos" w:cs="Tahoma"/>
                                <w:sz w:val="28"/>
                                <w:szCs w:val="28"/>
                              </w:rPr>
                            </w:pPr>
                            <w:r w:rsidRPr="00FB7D91">
                              <w:rPr>
                                <w:rFonts w:eastAsia="Aptos" w:cs="Tahoma"/>
                                <w:sz w:val="20"/>
                                <w:szCs w:val="20"/>
                              </w:rPr>
                              <w:t xml:space="preserve">*** “Other” includes instances when regional information is unknown, not provided, when the caller or applicant is from another province/territory, etc. </w:t>
                            </w:r>
                          </w:p>
                        </w:tc>
                      </w:tr>
                      <w:bookmarkEnd w:id="90"/>
                    </w:tbl>
                    <w:p w14:paraId="40D3B25C" w14:textId="77777777" w:rsidR="006730EE" w:rsidRPr="00FB7D91" w:rsidRDefault="006730EE" w:rsidP="006730EE">
                      <w:pPr>
                        <w:rPr>
                          <w:rFonts w:cs="Tahoma"/>
                        </w:rPr>
                      </w:pPr>
                    </w:p>
                  </w:txbxContent>
                </v:textbox>
                <w10:wrap type="square"/>
              </v:shape>
            </w:pict>
          </mc:Fallback>
        </mc:AlternateContent>
      </w:r>
      <w:r w:rsidR="009C639F">
        <w:rPr>
          <w:rFonts w:ascii="Arial" w:hAnsi="Arial" w:cs="Arial"/>
          <w:sz w:val="28"/>
          <w:szCs w:val="28"/>
        </w:rPr>
        <w:tab/>
      </w:r>
    </w:p>
    <w:p w14:paraId="4701FFF2" w14:textId="746B0244" w:rsidR="00A325F2" w:rsidRPr="00A325F2" w:rsidRDefault="00125155" w:rsidP="00A325F2">
      <w:pPr>
        <w:pStyle w:val="Heading3"/>
      </w:pPr>
      <w:bookmarkStart w:id="91" w:name="_Toc204090279"/>
      <w:r w:rsidRPr="003421C5">
        <w:rPr>
          <w:noProof/>
          <w:color w:val="0F4761"/>
        </w:rPr>
        <w:lastRenderedPageBreak/>
        <w:drawing>
          <wp:anchor distT="0" distB="0" distL="114300" distR="114300" simplePos="0" relativeHeight="251641860" behindDoc="0" locked="1" layoutInCell="1" allowOverlap="1" wp14:anchorId="5D7CDED6" wp14:editId="03E83C20">
            <wp:simplePos x="0" y="0"/>
            <wp:positionH relativeFrom="column">
              <wp:posOffset>0</wp:posOffset>
            </wp:positionH>
            <wp:positionV relativeFrom="page">
              <wp:posOffset>1285240</wp:posOffset>
            </wp:positionV>
            <wp:extent cx="4014000" cy="3520800"/>
            <wp:effectExtent l="0" t="0" r="5715" b="3810"/>
            <wp:wrapSquare wrapText="bothSides"/>
            <wp:docPr id="644242542" name="Chart 1" descr="Title: 2024-2025 Social areas noted in intake calls.&#10;&#10;Employment: 58%; Goods, services, and facilities: 23%; Housing: 11%; Membership: 1%; No social aspect established: 6%; Contracts: 1%.">
              <a:extLst xmlns:a="http://schemas.openxmlformats.org/drawingml/2006/main">
                <a:ext uri="{FF2B5EF4-FFF2-40B4-BE49-F238E27FC236}">
                  <a16:creationId xmlns:a16="http://schemas.microsoft.com/office/drawing/2014/main" id="{4C9B5E7C-728B-4785-8BD1-A609A596D6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731178" w:rsidRPr="00CB687E">
        <w:t>4.3.2 Social Areas</w:t>
      </w:r>
      <w:bookmarkEnd w:id="91"/>
    </w:p>
    <w:p w14:paraId="5720493C" w14:textId="0B40F010" w:rsidR="00A325F2" w:rsidRDefault="00A325F2" w:rsidP="00A325F2">
      <w:pPr>
        <w:pStyle w:val="Heading4"/>
      </w:pPr>
      <w:r w:rsidRPr="00CB687E">
        <w:t>HRLSC/HRTO Social Area Comparison</w:t>
      </w:r>
      <w:r>
        <w:t>:</w:t>
      </w:r>
    </w:p>
    <w:tbl>
      <w:tblPr>
        <w:tblStyle w:val="TableGrid"/>
        <w:tblW w:w="0" w:type="auto"/>
        <w:tblLook w:val="04A0" w:firstRow="1" w:lastRow="0" w:firstColumn="1" w:lastColumn="0" w:noHBand="0" w:noVBand="1"/>
      </w:tblPr>
      <w:tblGrid>
        <w:gridCol w:w="1980"/>
        <w:gridCol w:w="2126"/>
        <w:gridCol w:w="2001"/>
      </w:tblGrid>
      <w:tr w:rsidR="00A325F2" w:rsidRPr="00CB687E" w14:paraId="3B58E679" w14:textId="77777777" w:rsidTr="00F8553D">
        <w:tc>
          <w:tcPr>
            <w:tcW w:w="1980" w:type="dxa"/>
            <w:tcBorders>
              <w:top w:val="single" w:sz="4" w:space="0" w:color="auto"/>
              <w:left w:val="single" w:sz="4" w:space="0" w:color="auto"/>
              <w:bottom w:val="single" w:sz="48" w:space="0" w:color="auto"/>
              <w:right w:val="single" w:sz="4" w:space="0" w:color="auto"/>
            </w:tcBorders>
            <w:shd w:val="clear" w:color="auto" w:fill="E8E8E8" w:themeFill="background2"/>
            <w:vAlign w:val="center"/>
          </w:tcPr>
          <w:p w14:paraId="49CE84EA" w14:textId="77777777" w:rsidR="00A325F2" w:rsidRPr="00CF1B28" w:rsidRDefault="00A325F2" w:rsidP="00A325F2">
            <w:pPr>
              <w:rPr>
                <w:rFonts w:eastAsia="Aptos" w:cs="Tahoma"/>
                <w:b/>
                <w:bCs/>
              </w:rPr>
            </w:pPr>
            <w:r w:rsidRPr="00CF1B28">
              <w:rPr>
                <w:rFonts w:eastAsia="Aptos" w:cs="Tahoma"/>
                <w:b/>
                <w:bCs/>
              </w:rPr>
              <w:t>Social Area</w:t>
            </w:r>
          </w:p>
        </w:tc>
        <w:tc>
          <w:tcPr>
            <w:tcW w:w="2126" w:type="dxa"/>
            <w:tcBorders>
              <w:top w:val="single" w:sz="4" w:space="0" w:color="auto"/>
              <w:left w:val="single" w:sz="4" w:space="0" w:color="auto"/>
              <w:bottom w:val="single" w:sz="48" w:space="0" w:color="auto"/>
              <w:right w:val="single" w:sz="4" w:space="0" w:color="auto"/>
            </w:tcBorders>
            <w:shd w:val="clear" w:color="auto" w:fill="E8E8E8" w:themeFill="background2"/>
            <w:vAlign w:val="center"/>
          </w:tcPr>
          <w:p w14:paraId="12CDDEB3" w14:textId="77777777" w:rsidR="00A325F2" w:rsidRPr="00CF1B28" w:rsidRDefault="00A325F2" w:rsidP="00A325F2">
            <w:pPr>
              <w:rPr>
                <w:rFonts w:eastAsia="Aptos" w:cs="Tahoma"/>
                <w:b/>
                <w:bCs/>
              </w:rPr>
            </w:pPr>
            <w:r w:rsidRPr="00CF1B28">
              <w:rPr>
                <w:rFonts w:eastAsia="Aptos" w:cs="Tahoma"/>
                <w:b/>
                <w:bCs/>
              </w:rPr>
              <w:t>HRLSC Intakes*</w:t>
            </w:r>
          </w:p>
        </w:tc>
        <w:tc>
          <w:tcPr>
            <w:tcW w:w="1985" w:type="dxa"/>
            <w:tcBorders>
              <w:top w:val="single" w:sz="4" w:space="0" w:color="auto"/>
              <w:left w:val="single" w:sz="4" w:space="0" w:color="auto"/>
              <w:bottom w:val="single" w:sz="48" w:space="0" w:color="auto"/>
              <w:right w:val="single" w:sz="4" w:space="0" w:color="auto"/>
            </w:tcBorders>
            <w:shd w:val="clear" w:color="auto" w:fill="E8E8E8" w:themeFill="background2"/>
            <w:vAlign w:val="center"/>
          </w:tcPr>
          <w:p w14:paraId="7EE53CC2" w14:textId="77777777" w:rsidR="00A325F2" w:rsidRPr="00CF1B28" w:rsidRDefault="00A325F2" w:rsidP="00A325F2">
            <w:pPr>
              <w:rPr>
                <w:rFonts w:eastAsia="Aptos" w:cs="Tahoma"/>
                <w:b/>
                <w:bCs/>
              </w:rPr>
            </w:pPr>
            <w:r w:rsidRPr="00CF1B28">
              <w:rPr>
                <w:rFonts w:eastAsia="Aptos" w:cs="Tahoma"/>
                <w:b/>
                <w:bCs/>
              </w:rPr>
              <w:t>HRTO Applications**</w:t>
            </w:r>
          </w:p>
        </w:tc>
      </w:tr>
      <w:tr w:rsidR="00A325F2" w:rsidRPr="00CB687E" w14:paraId="06DDEB56" w14:textId="77777777" w:rsidTr="00975B74">
        <w:tc>
          <w:tcPr>
            <w:tcW w:w="1980" w:type="dxa"/>
            <w:tcBorders>
              <w:top w:val="single" w:sz="48" w:space="0" w:color="auto"/>
              <w:left w:val="single" w:sz="4" w:space="0" w:color="auto"/>
              <w:bottom w:val="single" w:sz="4" w:space="0" w:color="auto"/>
              <w:right w:val="single" w:sz="24" w:space="0" w:color="auto"/>
            </w:tcBorders>
            <w:vAlign w:val="center"/>
          </w:tcPr>
          <w:p w14:paraId="5C8E7D82" w14:textId="77777777" w:rsidR="00A325F2" w:rsidRPr="00CF1B28" w:rsidRDefault="00A325F2" w:rsidP="00A325F2">
            <w:pPr>
              <w:rPr>
                <w:rFonts w:eastAsia="Aptos" w:cs="Tahoma"/>
              </w:rPr>
            </w:pPr>
            <w:r w:rsidRPr="00CF1B28">
              <w:rPr>
                <w:rFonts w:eastAsia="Aptos" w:cs="Tahoma"/>
              </w:rPr>
              <w:t>Employment</w:t>
            </w:r>
          </w:p>
        </w:tc>
        <w:tc>
          <w:tcPr>
            <w:tcW w:w="2126" w:type="dxa"/>
            <w:tcBorders>
              <w:top w:val="single" w:sz="48" w:space="0" w:color="auto"/>
              <w:left w:val="single" w:sz="24" w:space="0" w:color="auto"/>
              <w:bottom w:val="single" w:sz="4" w:space="0" w:color="auto"/>
              <w:right w:val="single" w:sz="4" w:space="0" w:color="auto"/>
            </w:tcBorders>
            <w:vAlign w:val="center"/>
          </w:tcPr>
          <w:p w14:paraId="6171BDFD" w14:textId="77777777" w:rsidR="00A325F2" w:rsidRPr="00CF1B28" w:rsidRDefault="00A325F2" w:rsidP="00A325F2">
            <w:pPr>
              <w:rPr>
                <w:rFonts w:eastAsia="Aptos" w:cs="Tahoma"/>
              </w:rPr>
            </w:pPr>
            <w:r w:rsidRPr="00CF1B28">
              <w:rPr>
                <w:rFonts w:eastAsia="Aptos" w:cs="Tahoma"/>
              </w:rPr>
              <w:t>58%</w:t>
            </w:r>
          </w:p>
        </w:tc>
        <w:tc>
          <w:tcPr>
            <w:tcW w:w="1985" w:type="dxa"/>
            <w:tcBorders>
              <w:top w:val="single" w:sz="48" w:space="0" w:color="auto"/>
              <w:left w:val="single" w:sz="4" w:space="0" w:color="auto"/>
              <w:bottom w:val="single" w:sz="4" w:space="0" w:color="auto"/>
              <w:right w:val="single" w:sz="4" w:space="0" w:color="auto"/>
            </w:tcBorders>
            <w:vAlign w:val="center"/>
          </w:tcPr>
          <w:p w14:paraId="639283FA" w14:textId="77777777" w:rsidR="00A325F2" w:rsidRPr="00CF1B28" w:rsidRDefault="00A325F2" w:rsidP="00A325F2">
            <w:pPr>
              <w:rPr>
                <w:rFonts w:eastAsia="Aptos" w:cs="Tahoma"/>
              </w:rPr>
            </w:pPr>
            <w:r w:rsidRPr="00CF1B28">
              <w:rPr>
                <w:rFonts w:eastAsia="Aptos" w:cs="Tahoma"/>
              </w:rPr>
              <w:t>57%</w:t>
            </w:r>
          </w:p>
        </w:tc>
      </w:tr>
      <w:tr w:rsidR="00A325F2" w:rsidRPr="00CB687E" w14:paraId="6A1CA7C0" w14:textId="77777777" w:rsidTr="00975B74">
        <w:tc>
          <w:tcPr>
            <w:tcW w:w="1980" w:type="dxa"/>
            <w:tcBorders>
              <w:top w:val="single" w:sz="4" w:space="0" w:color="auto"/>
              <w:left w:val="single" w:sz="4" w:space="0" w:color="auto"/>
              <w:bottom w:val="single" w:sz="4" w:space="0" w:color="auto"/>
              <w:right w:val="single" w:sz="24" w:space="0" w:color="auto"/>
            </w:tcBorders>
            <w:vAlign w:val="center"/>
          </w:tcPr>
          <w:p w14:paraId="0A99E9BC" w14:textId="77777777" w:rsidR="00A325F2" w:rsidRPr="00CF1B28" w:rsidRDefault="00A325F2" w:rsidP="00A325F2">
            <w:pPr>
              <w:rPr>
                <w:rFonts w:eastAsia="Aptos" w:cs="Tahoma"/>
              </w:rPr>
            </w:pPr>
            <w:r w:rsidRPr="00CF1B28">
              <w:rPr>
                <w:rFonts w:eastAsia="Aptos" w:cs="Tahoma"/>
              </w:rPr>
              <w:t>Goods, Services and Facilities</w:t>
            </w:r>
          </w:p>
        </w:tc>
        <w:tc>
          <w:tcPr>
            <w:tcW w:w="2126" w:type="dxa"/>
            <w:tcBorders>
              <w:top w:val="single" w:sz="4" w:space="0" w:color="auto"/>
              <w:left w:val="single" w:sz="24" w:space="0" w:color="auto"/>
              <w:bottom w:val="single" w:sz="4" w:space="0" w:color="auto"/>
              <w:right w:val="single" w:sz="4" w:space="0" w:color="auto"/>
            </w:tcBorders>
            <w:vAlign w:val="center"/>
          </w:tcPr>
          <w:p w14:paraId="4DA87A35" w14:textId="77777777" w:rsidR="00A325F2" w:rsidRPr="00CF1B28" w:rsidRDefault="00A325F2" w:rsidP="00A325F2">
            <w:pPr>
              <w:rPr>
                <w:rFonts w:eastAsia="Aptos" w:cs="Tahoma"/>
              </w:rPr>
            </w:pPr>
            <w:r w:rsidRPr="00CF1B28">
              <w:rPr>
                <w:rFonts w:eastAsia="Aptos" w:cs="Tahoma"/>
              </w:rPr>
              <w:t>23%</w:t>
            </w:r>
          </w:p>
        </w:tc>
        <w:tc>
          <w:tcPr>
            <w:tcW w:w="1985" w:type="dxa"/>
            <w:tcBorders>
              <w:top w:val="single" w:sz="4" w:space="0" w:color="auto"/>
              <w:left w:val="single" w:sz="4" w:space="0" w:color="auto"/>
              <w:bottom w:val="single" w:sz="4" w:space="0" w:color="auto"/>
              <w:right w:val="single" w:sz="4" w:space="0" w:color="auto"/>
            </w:tcBorders>
            <w:vAlign w:val="center"/>
          </w:tcPr>
          <w:p w14:paraId="536523D6" w14:textId="77777777" w:rsidR="00A325F2" w:rsidRPr="00CF1B28" w:rsidRDefault="00A325F2" w:rsidP="00A325F2">
            <w:pPr>
              <w:rPr>
                <w:rFonts w:eastAsia="Aptos" w:cs="Tahoma"/>
              </w:rPr>
            </w:pPr>
            <w:r w:rsidRPr="00CF1B28">
              <w:rPr>
                <w:rFonts w:eastAsia="Aptos" w:cs="Tahoma"/>
              </w:rPr>
              <w:t>26%</w:t>
            </w:r>
          </w:p>
        </w:tc>
      </w:tr>
      <w:tr w:rsidR="00A325F2" w:rsidRPr="00CB687E" w14:paraId="259909CE" w14:textId="77777777" w:rsidTr="00975B74">
        <w:tc>
          <w:tcPr>
            <w:tcW w:w="1980" w:type="dxa"/>
            <w:tcBorders>
              <w:top w:val="single" w:sz="4" w:space="0" w:color="auto"/>
              <w:left w:val="single" w:sz="4" w:space="0" w:color="auto"/>
              <w:bottom w:val="single" w:sz="4" w:space="0" w:color="auto"/>
              <w:right w:val="single" w:sz="24" w:space="0" w:color="auto"/>
            </w:tcBorders>
            <w:vAlign w:val="center"/>
          </w:tcPr>
          <w:p w14:paraId="685C56E0" w14:textId="77777777" w:rsidR="00A325F2" w:rsidRPr="00CF1B28" w:rsidRDefault="00A325F2" w:rsidP="00A325F2">
            <w:pPr>
              <w:rPr>
                <w:rFonts w:eastAsia="Aptos" w:cs="Tahoma"/>
              </w:rPr>
            </w:pPr>
            <w:r w:rsidRPr="00CF1B28">
              <w:rPr>
                <w:rFonts w:eastAsia="Aptos" w:cs="Tahoma"/>
              </w:rPr>
              <w:t>Housing</w:t>
            </w:r>
          </w:p>
        </w:tc>
        <w:tc>
          <w:tcPr>
            <w:tcW w:w="2126" w:type="dxa"/>
            <w:tcBorders>
              <w:top w:val="single" w:sz="4" w:space="0" w:color="auto"/>
              <w:left w:val="single" w:sz="24" w:space="0" w:color="auto"/>
              <w:bottom w:val="single" w:sz="4" w:space="0" w:color="auto"/>
              <w:right w:val="single" w:sz="4" w:space="0" w:color="auto"/>
            </w:tcBorders>
            <w:vAlign w:val="center"/>
          </w:tcPr>
          <w:p w14:paraId="397DBF52" w14:textId="77777777" w:rsidR="00A325F2" w:rsidRPr="00CF1B28" w:rsidRDefault="00A325F2" w:rsidP="00A325F2">
            <w:pPr>
              <w:rPr>
                <w:rFonts w:eastAsia="Aptos" w:cs="Tahoma"/>
              </w:rPr>
            </w:pPr>
            <w:r w:rsidRPr="00CF1B28">
              <w:rPr>
                <w:rFonts w:eastAsia="Aptos" w:cs="Tahoma"/>
              </w:rPr>
              <w:t>11%</w:t>
            </w:r>
          </w:p>
        </w:tc>
        <w:tc>
          <w:tcPr>
            <w:tcW w:w="1985" w:type="dxa"/>
            <w:tcBorders>
              <w:top w:val="single" w:sz="4" w:space="0" w:color="auto"/>
              <w:left w:val="single" w:sz="4" w:space="0" w:color="auto"/>
              <w:bottom w:val="single" w:sz="4" w:space="0" w:color="auto"/>
              <w:right w:val="single" w:sz="4" w:space="0" w:color="auto"/>
            </w:tcBorders>
            <w:vAlign w:val="center"/>
          </w:tcPr>
          <w:p w14:paraId="28216E81" w14:textId="77777777" w:rsidR="00A325F2" w:rsidRPr="00CF1B28" w:rsidRDefault="00A325F2" w:rsidP="00A325F2">
            <w:pPr>
              <w:rPr>
                <w:rFonts w:eastAsia="Aptos" w:cs="Tahoma"/>
              </w:rPr>
            </w:pPr>
            <w:r w:rsidRPr="00CF1B28">
              <w:rPr>
                <w:rFonts w:eastAsia="Aptos" w:cs="Tahoma"/>
              </w:rPr>
              <w:t>10%</w:t>
            </w:r>
          </w:p>
        </w:tc>
      </w:tr>
      <w:tr w:rsidR="00A325F2" w:rsidRPr="00CB687E" w14:paraId="75176BEC" w14:textId="77777777" w:rsidTr="00975B74">
        <w:tc>
          <w:tcPr>
            <w:tcW w:w="1980" w:type="dxa"/>
            <w:tcBorders>
              <w:top w:val="single" w:sz="4" w:space="0" w:color="auto"/>
              <w:left w:val="single" w:sz="4" w:space="0" w:color="auto"/>
              <w:bottom w:val="single" w:sz="4" w:space="0" w:color="auto"/>
              <w:right w:val="single" w:sz="24" w:space="0" w:color="auto"/>
            </w:tcBorders>
            <w:vAlign w:val="center"/>
          </w:tcPr>
          <w:p w14:paraId="7B19ED7D" w14:textId="77777777" w:rsidR="00A325F2" w:rsidRPr="00CF1B28" w:rsidRDefault="00A325F2" w:rsidP="00A325F2">
            <w:pPr>
              <w:rPr>
                <w:rFonts w:eastAsia="Aptos" w:cs="Tahoma"/>
              </w:rPr>
            </w:pPr>
            <w:r w:rsidRPr="00CF1B28">
              <w:rPr>
                <w:rFonts w:eastAsia="Aptos" w:cs="Tahoma"/>
              </w:rPr>
              <w:t>Contracts</w:t>
            </w:r>
          </w:p>
        </w:tc>
        <w:tc>
          <w:tcPr>
            <w:tcW w:w="2126" w:type="dxa"/>
            <w:tcBorders>
              <w:top w:val="single" w:sz="4" w:space="0" w:color="auto"/>
              <w:left w:val="single" w:sz="24" w:space="0" w:color="auto"/>
              <w:bottom w:val="single" w:sz="4" w:space="0" w:color="auto"/>
              <w:right w:val="single" w:sz="4" w:space="0" w:color="auto"/>
            </w:tcBorders>
            <w:vAlign w:val="center"/>
          </w:tcPr>
          <w:p w14:paraId="2CB8C375" w14:textId="77777777" w:rsidR="00A325F2" w:rsidRPr="00CF1B28" w:rsidRDefault="00A325F2" w:rsidP="00A325F2">
            <w:pPr>
              <w:rPr>
                <w:rFonts w:eastAsia="Aptos" w:cs="Tahoma"/>
              </w:rPr>
            </w:pPr>
            <w:r w:rsidRPr="00CF1B28">
              <w:rPr>
                <w:rFonts w:eastAsia="Aptos" w:cs="Tahoma"/>
              </w:rPr>
              <w:t>1%</w:t>
            </w:r>
          </w:p>
        </w:tc>
        <w:tc>
          <w:tcPr>
            <w:tcW w:w="1985" w:type="dxa"/>
            <w:tcBorders>
              <w:top w:val="single" w:sz="4" w:space="0" w:color="auto"/>
              <w:left w:val="single" w:sz="4" w:space="0" w:color="auto"/>
              <w:bottom w:val="single" w:sz="4" w:space="0" w:color="auto"/>
              <w:right w:val="single" w:sz="4" w:space="0" w:color="auto"/>
            </w:tcBorders>
            <w:vAlign w:val="center"/>
          </w:tcPr>
          <w:p w14:paraId="472F1A79" w14:textId="77777777" w:rsidR="00A325F2" w:rsidRPr="00CF1B28" w:rsidRDefault="00A325F2" w:rsidP="00A325F2">
            <w:pPr>
              <w:rPr>
                <w:rFonts w:eastAsia="Aptos" w:cs="Tahoma"/>
              </w:rPr>
            </w:pPr>
            <w:r w:rsidRPr="00CF1B28">
              <w:rPr>
                <w:rFonts w:eastAsia="Aptos" w:cs="Tahoma"/>
              </w:rPr>
              <w:t>2%</w:t>
            </w:r>
          </w:p>
        </w:tc>
      </w:tr>
      <w:tr w:rsidR="00A325F2" w:rsidRPr="00CB687E" w14:paraId="2DB367E9" w14:textId="77777777" w:rsidTr="00975B74">
        <w:tc>
          <w:tcPr>
            <w:tcW w:w="1980" w:type="dxa"/>
            <w:tcBorders>
              <w:top w:val="single" w:sz="4" w:space="0" w:color="auto"/>
              <w:left w:val="single" w:sz="4" w:space="0" w:color="auto"/>
              <w:bottom w:val="single" w:sz="4" w:space="0" w:color="auto"/>
              <w:right w:val="single" w:sz="24" w:space="0" w:color="auto"/>
            </w:tcBorders>
            <w:vAlign w:val="center"/>
          </w:tcPr>
          <w:p w14:paraId="1E942004" w14:textId="77777777" w:rsidR="00A325F2" w:rsidRPr="00CF1B28" w:rsidRDefault="00A325F2" w:rsidP="00A325F2">
            <w:pPr>
              <w:rPr>
                <w:rFonts w:eastAsia="Aptos" w:cs="Tahoma"/>
              </w:rPr>
            </w:pPr>
            <w:r w:rsidRPr="00CF1B28">
              <w:rPr>
                <w:rFonts w:eastAsia="Aptos" w:cs="Tahoma"/>
              </w:rPr>
              <w:t>Membership in a Vocational Association</w:t>
            </w:r>
          </w:p>
        </w:tc>
        <w:tc>
          <w:tcPr>
            <w:tcW w:w="2126" w:type="dxa"/>
            <w:tcBorders>
              <w:top w:val="single" w:sz="4" w:space="0" w:color="auto"/>
              <w:left w:val="single" w:sz="24" w:space="0" w:color="auto"/>
              <w:bottom w:val="single" w:sz="4" w:space="0" w:color="auto"/>
              <w:right w:val="single" w:sz="4" w:space="0" w:color="auto"/>
            </w:tcBorders>
            <w:vAlign w:val="center"/>
          </w:tcPr>
          <w:p w14:paraId="339D06DB" w14:textId="77777777" w:rsidR="00A325F2" w:rsidRPr="00CF1B28" w:rsidRDefault="00A325F2" w:rsidP="00A325F2">
            <w:pPr>
              <w:rPr>
                <w:rFonts w:eastAsia="Aptos" w:cs="Tahoma"/>
              </w:rPr>
            </w:pPr>
            <w:r w:rsidRPr="00CF1B28">
              <w:rPr>
                <w:rFonts w:eastAsia="Aptos" w:cs="Tahoma"/>
              </w:rPr>
              <w:t>1%</w:t>
            </w:r>
          </w:p>
        </w:tc>
        <w:tc>
          <w:tcPr>
            <w:tcW w:w="1985" w:type="dxa"/>
            <w:tcBorders>
              <w:top w:val="single" w:sz="4" w:space="0" w:color="auto"/>
              <w:left w:val="single" w:sz="4" w:space="0" w:color="auto"/>
              <w:bottom w:val="single" w:sz="4" w:space="0" w:color="auto"/>
              <w:right w:val="single" w:sz="4" w:space="0" w:color="auto"/>
            </w:tcBorders>
            <w:vAlign w:val="center"/>
          </w:tcPr>
          <w:p w14:paraId="2A1CCB63" w14:textId="77777777" w:rsidR="00A325F2" w:rsidRPr="00CF1B28" w:rsidRDefault="00A325F2" w:rsidP="00A325F2">
            <w:pPr>
              <w:rPr>
                <w:rFonts w:eastAsia="Aptos" w:cs="Tahoma"/>
              </w:rPr>
            </w:pPr>
            <w:r w:rsidRPr="00CF1B28">
              <w:rPr>
                <w:rFonts w:eastAsia="Aptos" w:cs="Tahoma"/>
              </w:rPr>
              <w:t>4%</w:t>
            </w:r>
          </w:p>
        </w:tc>
      </w:tr>
      <w:tr w:rsidR="00A325F2" w:rsidRPr="00CB687E" w14:paraId="505940EE" w14:textId="77777777" w:rsidTr="00975B74">
        <w:tc>
          <w:tcPr>
            <w:tcW w:w="1980" w:type="dxa"/>
            <w:tcBorders>
              <w:top w:val="single" w:sz="4" w:space="0" w:color="auto"/>
              <w:left w:val="single" w:sz="4" w:space="0" w:color="auto"/>
              <w:bottom w:val="single" w:sz="4" w:space="0" w:color="auto"/>
              <w:right w:val="single" w:sz="24" w:space="0" w:color="auto"/>
            </w:tcBorders>
            <w:vAlign w:val="center"/>
          </w:tcPr>
          <w:p w14:paraId="56A63268" w14:textId="77777777" w:rsidR="00A325F2" w:rsidRPr="00CF1B28" w:rsidRDefault="00A325F2" w:rsidP="00A325F2">
            <w:pPr>
              <w:rPr>
                <w:rFonts w:eastAsia="Aptos" w:cs="Tahoma"/>
              </w:rPr>
            </w:pPr>
            <w:r w:rsidRPr="00CF1B28">
              <w:rPr>
                <w:rFonts w:eastAsia="Aptos" w:cs="Tahoma"/>
              </w:rPr>
              <w:t>No Social Area</w:t>
            </w:r>
          </w:p>
        </w:tc>
        <w:tc>
          <w:tcPr>
            <w:tcW w:w="2126" w:type="dxa"/>
            <w:tcBorders>
              <w:top w:val="single" w:sz="4" w:space="0" w:color="auto"/>
              <w:left w:val="single" w:sz="24" w:space="0" w:color="auto"/>
              <w:bottom w:val="single" w:sz="4" w:space="0" w:color="auto"/>
              <w:right w:val="single" w:sz="4" w:space="0" w:color="auto"/>
            </w:tcBorders>
            <w:vAlign w:val="center"/>
          </w:tcPr>
          <w:p w14:paraId="40E894AD" w14:textId="77777777" w:rsidR="00A325F2" w:rsidRPr="00CF1B28" w:rsidRDefault="00A325F2" w:rsidP="00A325F2">
            <w:pPr>
              <w:rPr>
                <w:rFonts w:eastAsia="Aptos" w:cs="Tahoma"/>
              </w:rPr>
            </w:pPr>
            <w:r w:rsidRPr="00CF1B28">
              <w:rPr>
                <w:rFonts w:eastAsia="Aptos" w:cs="Tahoma"/>
              </w:rPr>
              <w:t>6%</w:t>
            </w:r>
          </w:p>
        </w:tc>
        <w:tc>
          <w:tcPr>
            <w:tcW w:w="1985" w:type="dxa"/>
            <w:tcBorders>
              <w:top w:val="single" w:sz="4" w:space="0" w:color="auto"/>
              <w:left w:val="single" w:sz="4" w:space="0" w:color="auto"/>
              <w:bottom w:val="single" w:sz="4" w:space="0" w:color="auto"/>
              <w:right w:val="single" w:sz="4" w:space="0" w:color="auto"/>
            </w:tcBorders>
            <w:vAlign w:val="center"/>
          </w:tcPr>
          <w:p w14:paraId="359C82F8" w14:textId="77777777" w:rsidR="00A325F2" w:rsidRPr="00CF1B28" w:rsidRDefault="00A325F2" w:rsidP="00A325F2">
            <w:pPr>
              <w:rPr>
                <w:rFonts w:eastAsia="Aptos" w:cs="Tahoma"/>
              </w:rPr>
            </w:pPr>
            <w:r w:rsidRPr="00CF1B28">
              <w:rPr>
                <w:rFonts w:eastAsia="Aptos" w:cs="Tahoma"/>
              </w:rPr>
              <w:t>2%</w:t>
            </w:r>
          </w:p>
        </w:tc>
      </w:tr>
      <w:tr w:rsidR="00A325F2" w:rsidRPr="00B74A3D" w14:paraId="6437B160" w14:textId="77777777" w:rsidTr="00975B74">
        <w:trPr>
          <w:trHeight w:val="1822"/>
        </w:trPr>
        <w:tc>
          <w:tcPr>
            <w:tcW w:w="6091" w:type="dxa"/>
            <w:gridSpan w:val="3"/>
            <w:tcBorders>
              <w:top w:val="single" w:sz="4" w:space="0" w:color="auto"/>
              <w:left w:val="single" w:sz="4" w:space="0" w:color="auto"/>
              <w:bottom w:val="single" w:sz="4" w:space="0" w:color="auto"/>
              <w:right w:val="single" w:sz="4" w:space="0" w:color="auto"/>
            </w:tcBorders>
          </w:tcPr>
          <w:p w14:paraId="0B1CC654" w14:textId="77777777" w:rsidR="00A325F2" w:rsidRPr="00CB687E" w:rsidRDefault="00A325F2" w:rsidP="00EB245F">
            <w:pPr>
              <w:rPr>
                <w:rFonts w:ascii="Arial" w:eastAsia="Aptos" w:hAnsi="Arial" w:cs="Arial"/>
                <w:sz w:val="20"/>
                <w:szCs w:val="20"/>
              </w:rPr>
            </w:pPr>
            <w:r w:rsidRPr="00CB687E">
              <w:rPr>
                <w:rFonts w:ascii="Arial" w:eastAsia="Aptos" w:hAnsi="Arial" w:cs="Arial"/>
                <w:sz w:val="20"/>
                <w:szCs w:val="20"/>
              </w:rPr>
              <w:t xml:space="preserve">*Percentages calculated based on 24,705 intakes (calls and other forms of intake) </w:t>
            </w:r>
          </w:p>
          <w:p w14:paraId="69F12C27" w14:textId="77777777" w:rsidR="00A325F2" w:rsidRPr="00B74A3D" w:rsidRDefault="00A325F2" w:rsidP="00EB245F">
            <w:pPr>
              <w:rPr>
                <w:rFonts w:ascii="Aptos" w:hAnsi="Aptos"/>
              </w:rPr>
            </w:pPr>
            <w:r w:rsidRPr="00CB687E">
              <w:rPr>
                <w:rFonts w:ascii="Arial" w:eastAsia="Aptos" w:hAnsi="Arial" w:cs="Arial"/>
                <w:sz w:val="20"/>
                <w:szCs w:val="20"/>
              </w:rPr>
              <w:t xml:space="preserve">**Percentages calculated based on 3,639 applications in 2023/24; full year data for 2024/25 was not available at the time of this writing. Source: </w:t>
            </w:r>
            <w:hyperlink r:id="rId47" w:history="1">
              <w:r w:rsidRPr="00CB687E">
                <w:rPr>
                  <w:rFonts w:ascii="Arial" w:eastAsia="Aptos" w:hAnsi="Arial" w:cs="Arial"/>
                  <w:color w:val="467886"/>
                  <w:sz w:val="20"/>
                  <w:szCs w:val="20"/>
                  <w:u w:val="single"/>
                </w:rPr>
                <w:t>2023/24 HRTO Annual Report</w:t>
              </w:r>
            </w:hyperlink>
            <w:r w:rsidRPr="00CB687E">
              <w:rPr>
                <w:rFonts w:ascii="Arial" w:eastAsia="Aptos" w:hAnsi="Arial" w:cs="Arial"/>
                <w:sz w:val="20"/>
                <w:szCs w:val="20"/>
              </w:rPr>
              <w:t xml:space="preserve">. The total does not equal 100% due to the presence applications mentioning more than one social area. </w:t>
            </w:r>
          </w:p>
        </w:tc>
      </w:tr>
    </w:tbl>
    <w:p w14:paraId="6DD6AF85" w14:textId="02F5466B" w:rsidR="00A325F2" w:rsidRPr="00CB687E" w:rsidRDefault="00A325F2" w:rsidP="00125155">
      <w:pPr>
        <w:spacing w:before="240" w:line="276" w:lineRule="auto"/>
        <w:rPr>
          <w:rFonts w:eastAsia="Aptos" w:cs="Tahoma"/>
        </w:rPr>
      </w:pPr>
      <w:r w:rsidRPr="00CB687E">
        <w:rPr>
          <w:rFonts w:cs="Tahoma"/>
        </w:rPr>
        <w:t>Employment remained the most mentioned social area on intake calls. The percentage of employment-related calls has remained consistent from the previous two fiscal periods. Similarly, there were minimal changes to the other social areas (at most increasing or decreasing by 1% in comparison to figures provided between the 2020</w:t>
      </w:r>
      <w:r w:rsidRPr="00154CEB">
        <w:rPr>
          <w:rFonts w:cs="Tahoma"/>
        </w:rPr>
        <w:t>–</w:t>
      </w:r>
      <w:r w:rsidR="009B65A0">
        <w:rPr>
          <w:rFonts w:cs="Tahoma"/>
        </w:rPr>
        <w:t>20</w:t>
      </w:r>
      <w:r w:rsidRPr="00CB687E">
        <w:rPr>
          <w:rFonts w:cs="Tahoma"/>
        </w:rPr>
        <w:t>21 and 2023</w:t>
      </w:r>
      <w:r w:rsidRPr="00154CEB">
        <w:rPr>
          <w:rFonts w:cs="Tahoma"/>
        </w:rPr>
        <w:t>–</w:t>
      </w:r>
      <w:r w:rsidR="009B65A0">
        <w:rPr>
          <w:rFonts w:cs="Tahoma"/>
        </w:rPr>
        <w:t>20</w:t>
      </w:r>
      <w:r w:rsidRPr="00CB687E">
        <w:rPr>
          <w:rFonts w:cs="Tahoma"/>
        </w:rPr>
        <w:t>24 fiscal periods)</w:t>
      </w:r>
      <w:r w:rsidR="00125155">
        <w:rPr>
          <w:rFonts w:cs="Tahoma"/>
        </w:rPr>
        <w:t>.</w:t>
      </w:r>
    </w:p>
    <w:p w14:paraId="72A89E4C" w14:textId="418BAE4A" w:rsidR="00F54E76" w:rsidRDefault="00DC1E89" w:rsidP="00125155">
      <w:pPr>
        <w:spacing w:line="276" w:lineRule="auto"/>
        <w:rPr>
          <w:rFonts w:cs="Tahoma"/>
        </w:rPr>
      </w:pPr>
      <w:r w:rsidRPr="00CB687E">
        <w:rPr>
          <w:rFonts w:cs="Tahoma"/>
        </w:rPr>
        <w:t xml:space="preserve">A comparison of HRLSC intakes and HRTO applications, broken down by social area, illuminates a high degree of correspondence between the two sets of data. In both cases, approximately 90% of identified social areas pertained to Employment; Goods, Services and Facilities; and Housing. </w:t>
      </w:r>
    </w:p>
    <w:p w14:paraId="2EC39201" w14:textId="6D1A3428" w:rsidR="044477B2" w:rsidRPr="00736BC4" w:rsidRDefault="00736BC4" w:rsidP="00736BC4">
      <w:pPr>
        <w:pStyle w:val="Heading3"/>
      </w:pPr>
      <w:bookmarkStart w:id="92" w:name="_Toc204090280"/>
      <w:r w:rsidRPr="003421C5">
        <w:rPr>
          <w:noProof/>
          <w:color w:val="0F4761"/>
        </w:rPr>
        <w:lastRenderedPageBreak/>
        <w:drawing>
          <wp:anchor distT="0" distB="0" distL="114300" distR="114300" simplePos="0" relativeHeight="251648004" behindDoc="0" locked="1" layoutInCell="1" allowOverlap="1" wp14:anchorId="18BD61A7" wp14:editId="5D372271">
            <wp:simplePos x="0" y="0"/>
            <wp:positionH relativeFrom="column">
              <wp:posOffset>0</wp:posOffset>
            </wp:positionH>
            <wp:positionV relativeFrom="page">
              <wp:posOffset>1220470</wp:posOffset>
            </wp:positionV>
            <wp:extent cx="4572000" cy="4075200"/>
            <wp:effectExtent l="0" t="0" r="0" b="1905"/>
            <wp:wrapSquare wrapText="bothSides"/>
            <wp:docPr id="1036530520" name="Chart 1" descr="Title: Prohibited grounds noted in intake calls 2024-2025. &#10;&#10;Disability or perceived disability:&#10;39%; Race, color, ancestry, citizenship, ethnic origin, place of origin, belief: 26%; Sex/gender, family or marital status, pregnancy, sexual harassment, gender identity and expression, sexual orientation: 15%; Other grounds:&#10;Association, age, social assistance status, pardoned status, reprisals or threats of reprisals: 9%; No grounds established: 11%.">
              <a:extLst xmlns:a="http://schemas.openxmlformats.org/drawingml/2006/main">
                <a:ext uri="{FF2B5EF4-FFF2-40B4-BE49-F238E27FC236}">
                  <a16:creationId xmlns:a16="http://schemas.microsoft.com/office/drawing/2014/main" id="{DE4D45F5-C50F-564C-F996-CA29C630B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1F6C7275">
        <w:t>4.3.3 Prohibited Grounds</w:t>
      </w:r>
      <w:bookmarkEnd w:id="92"/>
    </w:p>
    <w:p w14:paraId="7663B71C" w14:textId="0E1EFF61" w:rsidR="00D23258" w:rsidRDefault="1F6C7275">
      <w:pPr>
        <w:rPr>
          <w:rFonts w:cs="Tahoma"/>
        </w:rPr>
      </w:pPr>
      <w:r w:rsidRPr="00CB687E">
        <w:rPr>
          <w:rFonts w:cs="Tahoma"/>
        </w:rPr>
        <w:t xml:space="preserve">From the available data, calls involving the ground of disability remain the </w:t>
      </w:r>
      <w:proofErr w:type="gramStart"/>
      <w:r w:rsidRPr="00CB687E">
        <w:rPr>
          <w:rFonts w:cs="Tahoma"/>
        </w:rPr>
        <w:t>most commonly cited</w:t>
      </w:r>
      <w:proofErr w:type="gramEnd"/>
      <w:r w:rsidRPr="00CB687E">
        <w:rPr>
          <w:rFonts w:cs="Tahoma"/>
        </w:rPr>
        <w:t xml:space="preserve"> ground at intake, followed by race-related cases and gender and sex-related cases, consistent with historical trends at the HRTO and HRLSC.</w:t>
      </w:r>
      <w:r w:rsidR="00823B13" w:rsidRPr="00CB687E">
        <w:rPr>
          <w:rStyle w:val="FootnoteReference"/>
          <w:rFonts w:cs="Tahoma"/>
        </w:rPr>
        <w:footnoteReference w:id="2"/>
      </w:r>
      <w:bookmarkEnd w:id="88"/>
    </w:p>
    <w:p w14:paraId="2F852333" w14:textId="26E608BF" w:rsidR="009925C1" w:rsidRDefault="00731178" w:rsidP="00731178">
      <w:pPr>
        <w:rPr>
          <w:rFonts w:cs="Tahoma"/>
        </w:rPr>
      </w:pPr>
      <w:r w:rsidRPr="00CB687E">
        <w:rPr>
          <w:rFonts w:cs="Tahoma"/>
        </w:rPr>
        <w:t xml:space="preserve">The two </w:t>
      </w:r>
      <w:proofErr w:type="gramStart"/>
      <w:r w:rsidRPr="00CB687E">
        <w:rPr>
          <w:rFonts w:cs="Tahoma"/>
        </w:rPr>
        <w:t>most commonly cited</w:t>
      </w:r>
      <w:proofErr w:type="gramEnd"/>
      <w:r w:rsidRPr="00CB687E">
        <w:rPr>
          <w:rFonts w:cs="Tahoma"/>
        </w:rPr>
        <w:t xml:space="preserve"> grounds </w:t>
      </w:r>
      <w:r w:rsidR="00431B8B" w:rsidRPr="00431B8B">
        <w:rPr>
          <w:rFonts w:cs="Tahoma"/>
        </w:rPr>
        <w:t>—</w:t>
      </w:r>
      <w:r w:rsidRPr="00CB687E">
        <w:rPr>
          <w:rFonts w:cs="Tahoma"/>
        </w:rPr>
        <w:t xml:space="preserve"> disability and race/race-related grounds</w:t>
      </w:r>
      <w:r w:rsidR="00431B8B" w:rsidRPr="00431B8B">
        <w:rPr>
          <w:rFonts w:cs="Tahoma"/>
        </w:rPr>
        <w:t>—</w:t>
      </w:r>
      <w:r w:rsidRPr="00CB687E">
        <w:rPr>
          <w:rFonts w:cs="Tahoma"/>
        </w:rPr>
        <w:t xml:space="preserve"> can be further separated into related sub-grounds (see below for examples). The charts featured below provide data on the prevalence of these sub-grounds. </w:t>
      </w:r>
    </w:p>
    <w:p w14:paraId="61EA4E1E" w14:textId="77777777" w:rsidR="009925C1" w:rsidRDefault="009925C1">
      <w:pPr>
        <w:rPr>
          <w:rFonts w:cs="Tahoma"/>
        </w:rPr>
      </w:pPr>
      <w:r>
        <w:rPr>
          <w:rFonts w:cs="Tahoma"/>
        </w:rPr>
        <w:br w:type="page"/>
      </w:r>
    </w:p>
    <w:p w14:paraId="3854C3BD" w14:textId="623F9920" w:rsidR="009925C1" w:rsidRDefault="009925C1">
      <w:r>
        <w:rPr>
          <w:rFonts w:cs="Tahoma"/>
          <w:noProof/>
        </w:rPr>
        <w:lastRenderedPageBreak/>
        <mc:AlternateContent>
          <mc:Choice Requires="wpg">
            <w:drawing>
              <wp:anchor distT="0" distB="0" distL="114300" distR="114300" simplePos="0" relativeHeight="251650052" behindDoc="0" locked="1" layoutInCell="1" allowOverlap="1" wp14:anchorId="3CE23E36" wp14:editId="21A75C08">
                <wp:simplePos x="0" y="0"/>
                <wp:positionH relativeFrom="margin">
                  <wp:posOffset>-245745</wp:posOffset>
                </wp:positionH>
                <wp:positionV relativeFrom="margin">
                  <wp:posOffset>-381635</wp:posOffset>
                </wp:positionV>
                <wp:extent cx="8708390" cy="6823710"/>
                <wp:effectExtent l="0" t="0" r="16510" b="15240"/>
                <wp:wrapSquare wrapText="bothSides"/>
                <wp:docPr id="1454113415" name="Group 5"/>
                <wp:cNvGraphicFramePr/>
                <a:graphic xmlns:a="http://schemas.openxmlformats.org/drawingml/2006/main">
                  <a:graphicData uri="http://schemas.microsoft.com/office/word/2010/wordprocessingGroup">
                    <wpg:wgp>
                      <wpg:cNvGrpSpPr/>
                      <wpg:grpSpPr>
                        <a:xfrm>
                          <a:off x="0" y="0"/>
                          <a:ext cx="8708390" cy="6823710"/>
                          <a:chOff x="0" y="0"/>
                          <a:chExt cx="8707953" cy="6694170"/>
                        </a:xfrm>
                      </wpg:grpSpPr>
                      <wps:wsp>
                        <wps:cNvPr id="2028026251" name="Text Box 2"/>
                        <wps:cNvSpPr txBox="1">
                          <a:spLocks noChangeArrowheads="1"/>
                        </wps:cNvSpPr>
                        <wps:spPr bwMode="auto">
                          <a:xfrm>
                            <a:off x="0" y="0"/>
                            <a:ext cx="4735195" cy="6694170"/>
                          </a:xfrm>
                          <a:prstGeom prst="rect">
                            <a:avLst/>
                          </a:prstGeom>
                          <a:solidFill>
                            <a:srgbClr val="FFFFFF"/>
                          </a:solidFill>
                          <a:ln w="9525">
                            <a:solidFill>
                              <a:schemeClr val="bg1"/>
                            </a:solidFill>
                            <a:miter lim="800000"/>
                            <a:headEnd/>
                            <a:tailEnd/>
                          </a:ln>
                        </wps:spPr>
                        <wps:txbx>
                          <w:txbxContent>
                            <w:tbl>
                              <w:tblPr>
                                <w:tblStyle w:val="TableGrid"/>
                                <w:tblW w:w="7225" w:type="dxa"/>
                                <w:tblLayout w:type="fixed"/>
                                <w:tblLook w:val="04A0" w:firstRow="1" w:lastRow="0" w:firstColumn="1" w:lastColumn="0" w:noHBand="0" w:noVBand="1"/>
                              </w:tblPr>
                              <w:tblGrid>
                                <w:gridCol w:w="2547"/>
                                <w:gridCol w:w="1276"/>
                                <w:gridCol w:w="1701"/>
                                <w:gridCol w:w="1701"/>
                              </w:tblGrid>
                              <w:tr w:rsidR="009925C1" w:rsidRPr="00CB687E" w14:paraId="024ABC86" w14:textId="77777777" w:rsidTr="00D23258">
                                <w:trPr>
                                  <w:trHeight w:val="290"/>
                                </w:trPr>
                                <w:tc>
                                  <w:tcPr>
                                    <w:tcW w:w="2547" w:type="dxa"/>
                                    <w:tcBorders>
                                      <w:bottom w:val="single" w:sz="48" w:space="0" w:color="auto"/>
                                    </w:tcBorders>
                                    <w:shd w:val="clear" w:color="auto" w:fill="D9D9D9" w:themeFill="background1" w:themeFillShade="D9"/>
                                    <w:vAlign w:val="center"/>
                                    <w:hideMark/>
                                  </w:tcPr>
                                  <w:p w14:paraId="311EE6D2" w14:textId="77777777" w:rsidR="009925C1" w:rsidRPr="00385384" w:rsidRDefault="009925C1" w:rsidP="00D23258">
                                    <w:pPr>
                                      <w:rPr>
                                        <w:rFonts w:cs="Tahoma"/>
                                        <w:b/>
                                        <w:bCs/>
                                      </w:rPr>
                                    </w:pPr>
                                    <w:r w:rsidRPr="00385384">
                                      <w:rPr>
                                        <w:rFonts w:cs="Tahoma"/>
                                        <w:b/>
                                        <w:bCs/>
                                      </w:rPr>
                                      <w:t>Prohibited Grounds Noted in Intake Calls (2024–2025)</w:t>
                                    </w:r>
                                  </w:p>
                                </w:tc>
                                <w:tc>
                                  <w:tcPr>
                                    <w:tcW w:w="1276" w:type="dxa"/>
                                    <w:tcBorders>
                                      <w:bottom w:val="single" w:sz="48" w:space="0" w:color="auto"/>
                                    </w:tcBorders>
                                    <w:shd w:val="clear" w:color="auto" w:fill="D9D9D9" w:themeFill="background1" w:themeFillShade="D9"/>
                                    <w:vAlign w:val="center"/>
                                    <w:hideMark/>
                                  </w:tcPr>
                                  <w:p w14:paraId="0989D75D" w14:textId="77777777" w:rsidR="009925C1" w:rsidRPr="00385384" w:rsidRDefault="009925C1" w:rsidP="00D23258">
                                    <w:pPr>
                                      <w:rPr>
                                        <w:rFonts w:cs="Tahoma"/>
                                        <w:b/>
                                        <w:bCs/>
                                      </w:rPr>
                                    </w:pPr>
                                    <w:r w:rsidRPr="00385384">
                                      <w:rPr>
                                        <w:rFonts w:cs="Tahoma"/>
                                        <w:b/>
                                        <w:bCs/>
                                      </w:rPr>
                                      <w:t>Number</w:t>
                                    </w:r>
                                  </w:p>
                                </w:tc>
                                <w:tc>
                                  <w:tcPr>
                                    <w:tcW w:w="1701" w:type="dxa"/>
                                    <w:tcBorders>
                                      <w:bottom w:val="single" w:sz="48" w:space="0" w:color="auto"/>
                                    </w:tcBorders>
                                    <w:shd w:val="clear" w:color="auto" w:fill="D9D9D9" w:themeFill="background1" w:themeFillShade="D9"/>
                                    <w:vAlign w:val="center"/>
                                  </w:tcPr>
                                  <w:p w14:paraId="0817D2CC" w14:textId="77777777" w:rsidR="009925C1" w:rsidRPr="00385384" w:rsidRDefault="009925C1" w:rsidP="00D23258">
                                    <w:pPr>
                                      <w:rPr>
                                        <w:rFonts w:cs="Tahoma"/>
                                        <w:b/>
                                        <w:bCs/>
                                      </w:rPr>
                                    </w:pPr>
                                    <w:r w:rsidRPr="00385384">
                                      <w:rPr>
                                        <w:rFonts w:cs="Tahoma"/>
                                        <w:b/>
                                        <w:bCs/>
                                      </w:rPr>
                                      <w:t>% of Intake Calls Citing Ground*</w:t>
                                    </w:r>
                                  </w:p>
                                </w:tc>
                                <w:tc>
                                  <w:tcPr>
                                    <w:tcW w:w="1701" w:type="dxa"/>
                                    <w:tcBorders>
                                      <w:bottom w:val="single" w:sz="48" w:space="0" w:color="auto"/>
                                    </w:tcBorders>
                                    <w:shd w:val="clear" w:color="auto" w:fill="D9D9D9" w:themeFill="background1" w:themeFillShade="D9"/>
                                    <w:vAlign w:val="center"/>
                                  </w:tcPr>
                                  <w:p w14:paraId="14FE7E94" w14:textId="77777777" w:rsidR="009925C1" w:rsidRPr="00385384" w:rsidRDefault="009925C1" w:rsidP="00D23258">
                                    <w:pPr>
                                      <w:rPr>
                                        <w:rFonts w:cs="Tahoma"/>
                                        <w:b/>
                                        <w:bCs/>
                                      </w:rPr>
                                    </w:pPr>
                                    <w:r w:rsidRPr="00385384">
                                      <w:rPr>
                                        <w:rFonts w:cs="Tahoma"/>
                                        <w:b/>
                                        <w:bCs/>
                                      </w:rPr>
                                      <w:t>HRTO Comparison (23–24)</w:t>
                                    </w:r>
                                  </w:p>
                                </w:tc>
                              </w:tr>
                              <w:tr w:rsidR="009925C1" w:rsidRPr="00CB687E" w14:paraId="3B891604" w14:textId="77777777" w:rsidTr="00D23258">
                                <w:trPr>
                                  <w:trHeight w:val="290"/>
                                </w:trPr>
                                <w:tc>
                                  <w:tcPr>
                                    <w:tcW w:w="2547" w:type="dxa"/>
                                    <w:tcBorders>
                                      <w:top w:val="single" w:sz="48" w:space="0" w:color="auto"/>
                                      <w:right w:val="single" w:sz="24" w:space="0" w:color="auto"/>
                                    </w:tcBorders>
                                    <w:noWrap/>
                                    <w:vAlign w:val="center"/>
                                    <w:hideMark/>
                                  </w:tcPr>
                                  <w:p w14:paraId="082F2278" w14:textId="77777777" w:rsidR="009925C1" w:rsidRPr="00385384" w:rsidRDefault="009925C1" w:rsidP="00D23258">
                                    <w:pPr>
                                      <w:rPr>
                                        <w:rFonts w:cs="Tahoma"/>
                                      </w:rPr>
                                    </w:pPr>
                                    <w:r w:rsidRPr="00385384">
                                      <w:rPr>
                                        <w:rFonts w:cs="Tahoma"/>
                                      </w:rPr>
                                      <w:t>Disability or Perceived Disability - Physical</w:t>
                                    </w:r>
                                  </w:p>
                                </w:tc>
                                <w:tc>
                                  <w:tcPr>
                                    <w:tcW w:w="1276" w:type="dxa"/>
                                    <w:tcBorders>
                                      <w:top w:val="single" w:sz="48" w:space="0" w:color="auto"/>
                                      <w:left w:val="single" w:sz="24" w:space="0" w:color="auto"/>
                                    </w:tcBorders>
                                    <w:vAlign w:val="center"/>
                                    <w:hideMark/>
                                  </w:tcPr>
                                  <w:p w14:paraId="134A1B82" w14:textId="77777777" w:rsidR="009925C1" w:rsidRPr="00385384" w:rsidRDefault="009925C1" w:rsidP="00D23258">
                                    <w:pPr>
                                      <w:rPr>
                                        <w:rFonts w:cs="Tahoma"/>
                                      </w:rPr>
                                    </w:pPr>
                                    <w:r w:rsidRPr="00385384">
                                      <w:rPr>
                                        <w:rFonts w:cs="Tahoma"/>
                                      </w:rPr>
                                      <w:t>15683</w:t>
                                    </w:r>
                                  </w:p>
                                </w:tc>
                                <w:tc>
                                  <w:tcPr>
                                    <w:tcW w:w="1701" w:type="dxa"/>
                                    <w:tcBorders>
                                      <w:top w:val="single" w:sz="48" w:space="0" w:color="auto"/>
                                    </w:tcBorders>
                                    <w:vAlign w:val="center"/>
                                  </w:tcPr>
                                  <w:p w14:paraId="1D0E0065" w14:textId="77777777" w:rsidR="009925C1" w:rsidRPr="00385384" w:rsidRDefault="009925C1" w:rsidP="00D23258">
                                    <w:pPr>
                                      <w:rPr>
                                        <w:rFonts w:cs="Tahoma"/>
                                      </w:rPr>
                                    </w:pPr>
                                    <w:r w:rsidRPr="00385384">
                                      <w:rPr>
                                        <w:rFonts w:cs="Tahoma"/>
                                      </w:rPr>
                                      <w:t>64.2%</w:t>
                                    </w:r>
                                  </w:p>
                                </w:tc>
                                <w:tc>
                                  <w:tcPr>
                                    <w:tcW w:w="1701" w:type="dxa"/>
                                    <w:tcBorders>
                                      <w:top w:val="single" w:sz="48" w:space="0" w:color="auto"/>
                                    </w:tcBorders>
                                    <w:vAlign w:val="center"/>
                                  </w:tcPr>
                                  <w:p w14:paraId="3D31D36F" w14:textId="77777777" w:rsidR="009925C1" w:rsidRPr="00385384" w:rsidRDefault="009925C1" w:rsidP="00D23258">
                                    <w:pPr>
                                      <w:rPr>
                                        <w:rFonts w:cs="Tahoma"/>
                                      </w:rPr>
                                    </w:pPr>
                                    <w:r w:rsidRPr="00385384">
                                      <w:rPr>
                                        <w:rFonts w:cs="Tahoma"/>
                                      </w:rPr>
                                      <w:t>51%</w:t>
                                    </w:r>
                                  </w:p>
                                </w:tc>
                              </w:tr>
                              <w:tr w:rsidR="009925C1" w:rsidRPr="00CB687E" w14:paraId="1C451120" w14:textId="77777777" w:rsidTr="00D23258">
                                <w:trPr>
                                  <w:trHeight w:val="290"/>
                                </w:trPr>
                                <w:tc>
                                  <w:tcPr>
                                    <w:tcW w:w="2547" w:type="dxa"/>
                                    <w:tcBorders>
                                      <w:right w:val="single" w:sz="24" w:space="0" w:color="auto"/>
                                    </w:tcBorders>
                                    <w:noWrap/>
                                    <w:vAlign w:val="center"/>
                                    <w:hideMark/>
                                  </w:tcPr>
                                  <w:p w14:paraId="151E5A98" w14:textId="77777777" w:rsidR="009925C1" w:rsidRPr="00385384" w:rsidRDefault="009925C1" w:rsidP="00D23258">
                                    <w:pPr>
                                      <w:rPr>
                                        <w:rFonts w:cs="Tahoma"/>
                                      </w:rPr>
                                    </w:pPr>
                                    <w:r w:rsidRPr="00385384">
                                      <w:rPr>
                                        <w:rFonts w:cs="Tahoma"/>
                                      </w:rPr>
                                      <w:t>No Grounds</w:t>
                                    </w:r>
                                  </w:p>
                                </w:tc>
                                <w:tc>
                                  <w:tcPr>
                                    <w:tcW w:w="1276" w:type="dxa"/>
                                    <w:tcBorders>
                                      <w:left w:val="single" w:sz="24" w:space="0" w:color="auto"/>
                                    </w:tcBorders>
                                    <w:vAlign w:val="center"/>
                                    <w:hideMark/>
                                  </w:tcPr>
                                  <w:p w14:paraId="4886231A" w14:textId="77777777" w:rsidR="009925C1" w:rsidRPr="00385384" w:rsidRDefault="009925C1" w:rsidP="00D23258">
                                    <w:pPr>
                                      <w:rPr>
                                        <w:rFonts w:cs="Tahoma"/>
                                      </w:rPr>
                                    </w:pPr>
                                    <w:r w:rsidRPr="00385384">
                                      <w:rPr>
                                        <w:rFonts w:cs="Tahoma"/>
                                      </w:rPr>
                                      <w:t>4308</w:t>
                                    </w:r>
                                  </w:p>
                                </w:tc>
                                <w:tc>
                                  <w:tcPr>
                                    <w:tcW w:w="1701" w:type="dxa"/>
                                    <w:vAlign w:val="center"/>
                                  </w:tcPr>
                                  <w:p w14:paraId="5CFD8AE3" w14:textId="77777777" w:rsidR="009925C1" w:rsidRPr="00385384" w:rsidRDefault="009925C1" w:rsidP="00D23258">
                                    <w:pPr>
                                      <w:rPr>
                                        <w:rFonts w:cs="Tahoma"/>
                                      </w:rPr>
                                    </w:pPr>
                                    <w:r w:rsidRPr="00385384">
                                      <w:rPr>
                                        <w:rFonts w:cs="Tahoma"/>
                                      </w:rPr>
                                      <w:t>17.6%</w:t>
                                    </w:r>
                                  </w:p>
                                </w:tc>
                                <w:tc>
                                  <w:tcPr>
                                    <w:tcW w:w="1701" w:type="dxa"/>
                                    <w:vAlign w:val="center"/>
                                  </w:tcPr>
                                  <w:p w14:paraId="05C61CA1" w14:textId="77777777" w:rsidR="009925C1" w:rsidRPr="00385384" w:rsidRDefault="009925C1" w:rsidP="00D23258">
                                    <w:pPr>
                                      <w:rPr>
                                        <w:rFonts w:cs="Tahoma"/>
                                      </w:rPr>
                                    </w:pPr>
                                    <w:r w:rsidRPr="00385384">
                                      <w:rPr>
                                        <w:rFonts w:cs="Tahoma"/>
                                      </w:rPr>
                                      <w:t>2%</w:t>
                                    </w:r>
                                  </w:p>
                                </w:tc>
                              </w:tr>
                              <w:tr w:rsidR="009925C1" w:rsidRPr="00CB687E" w14:paraId="29922A40" w14:textId="77777777" w:rsidTr="00D23258">
                                <w:trPr>
                                  <w:trHeight w:val="290"/>
                                </w:trPr>
                                <w:tc>
                                  <w:tcPr>
                                    <w:tcW w:w="2547" w:type="dxa"/>
                                    <w:tcBorders>
                                      <w:right w:val="single" w:sz="24" w:space="0" w:color="auto"/>
                                    </w:tcBorders>
                                    <w:noWrap/>
                                    <w:vAlign w:val="center"/>
                                    <w:hideMark/>
                                  </w:tcPr>
                                  <w:p w14:paraId="20AEBACA" w14:textId="77777777" w:rsidR="009925C1" w:rsidRPr="00385384" w:rsidRDefault="009925C1" w:rsidP="00D23258">
                                    <w:pPr>
                                      <w:rPr>
                                        <w:rFonts w:cs="Tahoma"/>
                                      </w:rPr>
                                    </w:pPr>
                                    <w:r w:rsidRPr="00385384">
                                      <w:rPr>
                                        <w:rFonts w:cs="Tahoma"/>
                                      </w:rPr>
                                      <w:t>Race</w:t>
                                    </w:r>
                                  </w:p>
                                </w:tc>
                                <w:tc>
                                  <w:tcPr>
                                    <w:tcW w:w="1276" w:type="dxa"/>
                                    <w:tcBorders>
                                      <w:left w:val="single" w:sz="24" w:space="0" w:color="auto"/>
                                    </w:tcBorders>
                                    <w:vAlign w:val="center"/>
                                    <w:hideMark/>
                                  </w:tcPr>
                                  <w:p w14:paraId="6A4099C4" w14:textId="77777777" w:rsidR="009925C1" w:rsidRPr="00385384" w:rsidRDefault="009925C1" w:rsidP="00D23258">
                                    <w:pPr>
                                      <w:rPr>
                                        <w:rFonts w:cs="Tahoma"/>
                                      </w:rPr>
                                    </w:pPr>
                                    <w:r w:rsidRPr="00385384">
                                      <w:rPr>
                                        <w:rFonts w:cs="Tahoma"/>
                                      </w:rPr>
                                      <w:t>3425</w:t>
                                    </w:r>
                                  </w:p>
                                </w:tc>
                                <w:tc>
                                  <w:tcPr>
                                    <w:tcW w:w="1701" w:type="dxa"/>
                                    <w:vAlign w:val="center"/>
                                  </w:tcPr>
                                  <w:p w14:paraId="4B57F1DC" w14:textId="77777777" w:rsidR="009925C1" w:rsidRPr="00385384" w:rsidRDefault="009925C1" w:rsidP="00D23258">
                                    <w:pPr>
                                      <w:rPr>
                                        <w:rFonts w:cs="Tahoma"/>
                                      </w:rPr>
                                    </w:pPr>
                                    <w:r w:rsidRPr="00385384">
                                      <w:rPr>
                                        <w:rFonts w:cs="Tahoma"/>
                                      </w:rPr>
                                      <w:t>14%</w:t>
                                    </w:r>
                                  </w:p>
                                </w:tc>
                                <w:tc>
                                  <w:tcPr>
                                    <w:tcW w:w="1701" w:type="dxa"/>
                                    <w:vAlign w:val="center"/>
                                  </w:tcPr>
                                  <w:p w14:paraId="07E64FDB" w14:textId="77777777" w:rsidR="009925C1" w:rsidRPr="00385384" w:rsidRDefault="009925C1" w:rsidP="00D23258">
                                    <w:pPr>
                                      <w:rPr>
                                        <w:rFonts w:cs="Tahoma"/>
                                      </w:rPr>
                                    </w:pPr>
                                    <w:r w:rsidRPr="00385384">
                                      <w:rPr>
                                        <w:rFonts w:cs="Tahoma"/>
                                      </w:rPr>
                                      <w:t>28%</w:t>
                                    </w:r>
                                  </w:p>
                                </w:tc>
                              </w:tr>
                              <w:tr w:rsidR="009925C1" w:rsidRPr="00CB687E" w14:paraId="107E5A8E" w14:textId="77777777" w:rsidTr="00D23258">
                                <w:trPr>
                                  <w:trHeight w:val="290"/>
                                </w:trPr>
                                <w:tc>
                                  <w:tcPr>
                                    <w:tcW w:w="2547" w:type="dxa"/>
                                    <w:tcBorders>
                                      <w:right w:val="single" w:sz="24" w:space="0" w:color="auto"/>
                                    </w:tcBorders>
                                    <w:noWrap/>
                                    <w:vAlign w:val="center"/>
                                    <w:hideMark/>
                                  </w:tcPr>
                                  <w:p w14:paraId="676B9ABC" w14:textId="77777777" w:rsidR="009925C1" w:rsidRPr="00385384" w:rsidRDefault="009925C1" w:rsidP="00D23258">
                                    <w:pPr>
                                      <w:rPr>
                                        <w:rFonts w:cs="Tahoma"/>
                                      </w:rPr>
                                    </w:pPr>
                                    <w:r w:rsidRPr="00385384">
                                      <w:rPr>
                                        <w:rFonts w:cs="Tahoma"/>
                                      </w:rPr>
                                      <w:t>Sex, Gender and Pregnancy</w:t>
                                    </w:r>
                                  </w:p>
                                </w:tc>
                                <w:tc>
                                  <w:tcPr>
                                    <w:tcW w:w="1276" w:type="dxa"/>
                                    <w:tcBorders>
                                      <w:left w:val="single" w:sz="24" w:space="0" w:color="auto"/>
                                    </w:tcBorders>
                                    <w:vAlign w:val="center"/>
                                    <w:hideMark/>
                                  </w:tcPr>
                                  <w:p w14:paraId="261C150F" w14:textId="77777777" w:rsidR="009925C1" w:rsidRPr="00385384" w:rsidRDefault="009925C1" w:rsidP="00D23258">
                                    <w:pPr>
                                      <w:rPr>
                                        <w:rFonts w:cs="Tahoma"/>
                                      </w:rPr>
                                    </w:pPr>
                                    <w:r w:rsidRPr="00385384">
                                      <w:rPr>
                                        <w:rFonts w:cs="Tahoma"/>
                                      </w:rPr>
                                      <w:t>2055</w:t>
                                    </w:r>
                                  </w:p>
                                </w:tc>
                                <w:tc>
                                  <w:tcPr>
                                    <w:tcW w:w="1701" w:type="dxa"/>
                                    <w:vAlign w:val="center"/>
                                  </w:tcPr>
                                  <w:p w14:paraId="1E60B678" w14:textId="77777777" w:rsidR="009925C1" w:rsidRPr="00385384" w:rsidRDefault="009925C1" w:rsidP="00D23258">
                                    <w:pPr>
                                      <w:rPr>
                                        <w:rFonts w:cs="Tahoma"/>
                                      </w:rPr>
                                    </w:pPr>
                                    <w:r w:rsidRPr="00385384">
                                      <w:rPr>
                                        <w:rFonts w:cs="Tahoma"/>
                                      </w:rPr>
                                      <w:t>8.4%</w:t>
                                    </w:r>
                                  </w:p>
                                </w:tc>
                                <w:tc>
                                  <w:tcPr>
                                    <w:tcW w:w="1701" w:type="dxa"/>
                                    <w:vAlign w:val="center"/>
                                  </w:tcPr>
                                  <w:p w14:paraId="7F44E126" w14:textId="77777777" w:rsidR="009925C1" w:rsidRPr="00385384" w:rsidRDefault="009925C1" w:rsidP="00D23258">
                                    <w:pPr>
                                      <w:rPr>
                                        <w:rFonts w:cs="Tahoma"/>
                                      </w:rPr>
                                    </w:pPr>
                                    <w:r w:rsidRPr="00385384">
                                      <w:rPr>
                                        <w:rFonts w:cs="Tahoma"/>
                                      </w:rPr>
                                      <w:t>15%</w:t>
                                    </w:r>
                                  </w:p>
                                </w:tc>
                              </w:tr>
                              <w:tr w:rsidR="009925C1" w:rsidRPr="00CB687E" w14:paraId="497E8723" w14:textId="77777777" w:rsidTr="00D23258">
                                <w:trPr>
                                  <w:trHeight w:val="290"/>
                                </w:trPr>
                                <w:tc>
                                  <w:tcPr>
                                    <w:tcW w:w="2547" w:type="dxa"/>
                                    <w:tcBorders>
                                      <w:right w:val="single" w:sz="24" w:space="0" w:color="auto"/>
                                    </w:tcBorders>
                                    <w:noWrap/>
                                    <w:vAlign w:val="center"/>
                                    <w:hideMark/>
                                  </w:tcPr>
                                  <w:p w14:paraId="5A64B4DA" w14:textId="77777777" w:rsidR="009925C1" w:rsidRPr="00385384" w:rsidRDefault="009925C1" w:rsidP="00D23258">
                                    <w:pPr>
                                      <w:rPr>
                                        <w:rFonts w:cs="Tahoma"/>
                                      </w:rPr>
                                    </w:pPr>
                                    <w:r w:rsidRPr="00385384">
                                      <w:rPr>
                                        <w:rFonts w:cs="Tahoma"/>
                                      </w:rPr>
                                      <w:t>Colour</w:t>
                                    </w:r>
                                  </w:p>
                                </w:tc>
                                <w:tc>
                                  <w:tcPr>
                                    <w:tcW w:w="1276" w:type="dxa"/>
                                    <w:tcBorders>
                                      <w:left w:val="single" w:sz="24" w:space="0" w:color="auto"/>
                                    </w:tcBorders>
                                    <w:vAlign w:val="center"/>
                                    <w:hideMark/>
                                  </w:tcPr>
                                  <w:p w14:paraId="647B0308" w14:textId="77777777" w:rsidR="009925C1" w:rsidRPr="00385384" w:rsidRDefault="009925C1" w:rsidP="00D23258">
                                    <w:pPr>
                                      <w:rPr>
                                        <w:rFonts w:cs="Tahoma"/>
                                      </w:rPr>
                                    </w:pPr>
                                    <w:r w:rsidRPr="00385384">
                                      <w:rPr>
                                        <w:rFonts w:cs="Tahoma"/>
                                      </w:rPr>
                                      <w:t>1910</w:t>
                                    </w:r>
                                  </w:p>
                                </w:tc>
                                <w:tc>
                                  <w:tcPr>
                                    <w:tcW w:w="1701" w:type="dxa"/>
                                    <w:vAlign w:val="center"/>
                                  </w:tcPr>
                                  <w:p w14:paraId="5E304310" w14:textId="77777777" w:rsidR="009925C1" w:rsidRPr="00385384" w:rsidRDefault="009925C1" w:rsidP="00D23258">
                                    <w:pPr>
                                      <w:rPr>
                                        <w:rFonts w:cs="Tahoma"/>
                                      </w:rPr>
                                    </w:pPr>
                                    <w:r w:rsidRPr="00385384">
                                      <w:rPr>
                                        <w:rFonts w:cs="Tahoma"/>
                                      </w:rPr>
                                      <w:t>7.8%</w:t>
                                    </w:r>
                                  </w:p>
                                </w:tc>
                                <w:tc>
                                  <w:tcPr>
                                    <w:tcW w:w="1701" w:type="dxa"/>
                                    <w:vAlign w:val="center"/>
                                  </w:tcPr>
                                  <w:p w14:paraId="7C89B1FF" w14:textId="77777777" w:rsidR="009925C1" w:rsidRPr="00385384" w:rsidRDefault="009925C1" w:rsidP="00D23258">
                                    <w:pPr>
                                      <w:rPr>
                                        <w:rFonts w:cs="Tahoma"/>
                                      </w:rPr>
                                    </w:pPr>
                                    <w:r w:rsidRPr="00385384">
                                      <w:rPr>
                                        <w:rFonts w:cs="Tahoma"/>
                                      </w:rPr>
                                      <w:t>18%</w:t>
                                    </w:r>
                                  </w:p>
                                </w:tc>
                              </w:tr>
                              <w:tr w:rsidR="009925C1" w:rsidRPr="00CB687E" w14:paraId="7BA71E2B" w14:textId="77777777" w:rsidTr="00D23258">
                                <w:trPr>
                                  <w:trHeight w:val="290"/>
                                </w:trPr>
                                <w:tc>
                                  <w:tcPr>
                                    <w:tcW w:w="2547" w:type="dxa"/>
                                    <w:tcBorders>
                                      <w:right w:val="single" w:sz="24" w:space="0" w:color="auto"/>
                                    </w:tcBorders>
                                    <w:noWrap/>
                                    <w:vAlign w:val="center"/>
                                    <w:hideMark/>
                                  </w:tcPr>
                                  <w:p w14:paraId="16131B2A" w14:textId="77777777" w:rsidR="009925C1" w:rsidRPr="00385384" w:rsidRDefault="009925C1" w:rsidP="00D23258">
                                    <w:pPr>
                                      <w:rPr>
                                        <w:rFonts w:cs="Tahoma"/>
                                      </w:rPr>
                                    </w:pPr>
                                    <w:r w:rsidRPr="00385384">
                                      <w:rPr>
                                        <w:rFonts w:cs="Tahoma"/>
                                      </w:rPr>
                                      <w:t>Ethnic Origin</w:t>
                                    </w:r>
                                  </w:p>
                                </w:tc>
                                <w:tc>
                                  <w:tcPr>
                                    <w:tcW w:w="1276" w:type="dxa"/>
                                    <w:tcBorders>
                                      <w:left w:val="single" w:sz="24" w:space="0" w:color="auto"/>
                                    </w:tcBorders>
                                    <w:vAlign w:val="center"/>
                                    <w:hideMark/>
                                  </w:tcPr>
                                  <w:p w14:paraId="7605DEBD" w14:textId="77777777" w:rsidR="009925C1" w:rsidRPr="00385384" w:rsidRDefault="009925C1" w:rsidP="00D23258">
                                    <w:pPr>
                                      <w:rPr>
                                        <w:rFonts w:cs="Tahoma"/>
                                      </w:rPr>
                                    </w:pPr>
                                    <w:r w:rsidRPr="00385384">
                                      <w:rPr>
                                        <w:rFonts w:cs="Tahoma"/>
                                      </w:rPr>
                                      <w:t>1704</w:t>
                                    </w:r>
                                  </w:p>
                                </w:tc>
                                <w:tc>
                                  <w:tcPr>
                                    <w:tcW w:w="1701" w:type="dxa"/>
                                    <w:vAlign w:val="center"/>
                                  </w:tcPr>
                                  <w:p w14:paraId="5A3EF99C" w14:textId="77777777" w:rsidR="009925C1" w:rsidRPr="00385384" w:rsidRDefault="009925C1" w:rsidP="00D23258">
                                    <w:pPr>
                                      <w:rPr>
                                        <w:rFonts w:cs="Tahoma"/>
                                      </w:rPr>
                                    </w:pPr>
                                    <w:r w:rsidRPr="00385384">
                                      <w:rPr>
                                        <w:rFonts w:cs="Tahoma"/>
                                      </w:rPr>
                                      <w:t>7%</w:t>
                                    </w:r>
                                  </w:p>
                                </w:tc>
                                <w:tc>
                                  <w:tcPr>
                                    <w:tcW w:w="1701" w:type="dxa"/>
                                    <w:vAlign w:val="center"/>
                                  </w:tcPr>
                                  <w:p w14:paraId="3CFAC6BD" w14:textId="77777777" w:rsidR="009925C1" w:rsidRPr="00385384" w:rsidRDefault="009925C1" w:rsidP="00D23258">
                                    <w:pPr>
                                      <w:rPr>
                                        <w:rFonts w:cs="Tahoma"/>
                                      </w:rPr>
                                    </w:pPr>
                                    <w:r w:rsidRPr="00385384">
                                      <w:rPr>
                                        <w:rFonts w:cs="Tahoma"/>
                                      </w:rPr>
                                      <w:t>20%</w:t>
                                    </w:r>
                                  </w:p>
                                </w:tc>
                              </w:tr>
                              <w:tr w:rsidR="009925C1" w:rsidRPr="00CB687E" w14:paraId="70649C1F" w14:textId="77777777" w:rsidTr="00D23258">
                                <w:trPr>
                                  <w:trHeight w:val="290"/>
                                </w:trPr>
                                <w:tc>
                                  <w:tcPr>
                                    <w:tcW w:w="2547" w:type="dxa"/>
                                    <w:tcBorders>
                                      <w:right w:val="single" w:sz="24" w:space="0" w:color="auto"/>
                                    </w:tcBorders>
                                    <w:noWrap/>
                                    <w:vAlign w:val="center"/>
                                    <w:hideMark/>
                                  </w:tcPr>
                                  <w:p w14:paraId="553D4BD5" w14:textId="77777777" w:rsidR="009925C1" w:rsidRPr="00385384" w:rsidRDefault="009925C1" w:rsidP="00D23258">
                                    <w:pPr>
                                      <w:rPr>
                                        <w:rFonts w:cs="Tahoma"/>
                                      </w:rPr>
                                    </w:pPr>
                                    <w:r w:rsidRPr="00385384">
                                      <w:rPr>
                                        <w:rFonts w:cs="Tahoma"/>
                                      </w:rPr>
                                      <w:t>Reprisal or Threat of Reprisal</w:t>
                                    </w:r>
                                  </w:p>
                                </w:tc>
                                <w:tc>
                                  <w:tcPr>
                                    <w:tcW w:w="1276" w:type="dxa"/>
                                    <w:tcBorders>
                                      <w:left w:val="single" w:sz="24" w:space="0" w:color="auto"/>
                                    </w:tcBorders>
                                    <w:vAlign w:val="center"/>
                                    <w:hideMark/>
                                  </w:tcPr>
                                  <w:p w14:paraId="2B932018" w14:textId="77777777" w:rsidR="009925C1" w:rsidRPr="00385384" w:rsidRDefault="009925C1" w:rsidP="00D23258">
                                    <w:pPr>
                                      <w:rPr>
                                        <w:rFonts w:cs="Tahoma"/>
                                      </w:rPr>
                                    </w:pPr>
                                    <w:r w:rsidRPr="00385384">
                                      <w:rPr>
                                        <w:rFonts w:cs="Tahoma"/>
                                      </w:rPr>
                                      <w:t>1545</w:t>
                                    </w:r>
                                  </w:p>
                                </w:tc>
                                <w:tc>
                                  <w:tcPr>
                                    <w:tcW w:w="1701" w:type="dxa"/>
                                    <w:vAlign w:val="center"/>
                                  </w:tcPr>
                                  <w:p w14:paraId="4642F9E8" w14:textId="77777777" w:rsidR="009925C1" w:rsidRPr="00385384" w:rsidRDefault="009925C1" w:rsidP="00D23258">
                                    <w:pPr>
                                      <w:rPr>
                                        <w:rFonts w:cs="Tahoma"/>
                                      </w:rPr>
                                    </w:pPr>
                                    <w:r w:rsidRPr="00385384">
                                      <w:rPr>
                                        <w:rFonts w:cs="Tahoma"/>
                                      </w:rPr>
                                      <w:t>6.3%</w:t>
                                    </w:r>
                                  </w:p>
                                </w:tc>
                                <w:tc>
                                  <w:tcPr>
                                    <w:tcW w:w="1701" w:type="dxa"/>
                                    <w:vAlign w:val="center"/>
                                  </w:tcPr>
                                  <w:p w14:paraId="127A142C" w14:textId="77777777" w:rsidR="009925C1" w:rsidRPr="00385384" w:rsidRDefault="009925C1" w:rsidP="00D23258">
                                    <w:pPr>
                                      <w:rPr>
                                        <w:rFonts w:cs="Tahoma"/>
                                      </w:rPr>
                                    </w:pPr>
                                    <w:r w:rsidRPr="00385384">
                                      <w:rPr>
                                        <w:rFonts w:cs="Tahoma"/>
                                      </w:rPr>
                                      <w:t>26%</w:t>
                                    </w:r>
                                  </w:p>
                                </w:tc>
                              </w:tr>
                              <w:tr w:rsidR="009925C1" w:rsidRPr="00CB687E" w14:paraId="0AD7A862" w14:textId="77777777" w:rsidTr="00D23258">
                                <w:trPr>
                                  <w:trHeight w:val="290"/>
                                </w:trPr>
                                <w:tc>
                                  <w:tcPr>
                                    <w:tcW w:w="2547" w:type="dxa"/>
                                    <w:tcBorders>
                                      <w:right w:val="single" w:sz="24" w:space="0" w:color="auto"/>
                                    </w:tcBorders>
                                    <w:noWrap/>
                                    <w:vAlign w:val="center"/>
                                    <w:hideMark/>
                                  </w:tcPr>
                                  <w:p w14:paraId="5EC63DAE" w14:textId="77777777" w:rsidR="009925C1" w:rsidRPr="00385384" w:rsidRDefault="009925C1" w:rsidP="00D23258">
                                    <w:pPr>
                                      <w:rPr>
                                        <w:rFonts w:cs="Tahoma"/>
                                      </w:rPr>
                                    </w:pPr>
                                    <w:r w:rsidRPr="00385384">
                                      <w:rPr>
                                        <w:rFonts w:cs="Tahoma"/>
                                      </w:rPr>
                                      <w:t>Place Of Origin</w:t>
                                    </w:r>
                                  </w:p>
                                </w:tc>
                                <w:tc>
                                  <w:tcPr>
                                    <w:tcW w:w="1276" w:type="dxa"/>
                                    <w:tcBorders>
                                      <w:left w:val="single" w:sz="24" w:space="0" w:color="auto"/>
                                    </w:tcBorders>
                                    <w:vAlign w:val="center"/>
                                    <w:hideMark/>
                                  </w:tcPr>
                                  <w:p w14:paraId="7639361E" w14:textId="77777777" w:rsidR="009925C1" w:rsidRPr="00385384" w:rsidRDefault="009925C1" w:rsidP="00D23258">
                                    <w:pPr>
                                      <w:rPr>
                                        <w:rFonts w:cs="Tahoma"/>
                                      </w:rPr>
                                    </w:pPr>
                                    <w:r w:rsidRPr="00385384">
                                      <w:rPr>
                                        <w:rFonts w:cs="Tahoma"/>
                                      </w:rPr>
                                      <w:t>1465</w:t>
                                    </w:r>
                                  </w:p>
                                </w:tc>
                                <w:tc>
                                  <w:tcPr>
                                    <w:tcW w:w="1701" w:type="dxa"/>
                                    <w:vAlign w:val="center"/>
                                  </w:tcPr>
                                  <w:p w14:paraId="0BDE0B0C" w14:textId="77777777" w:rsidR="009925C1" w:rsidRPr="00385384" w:rsidRDefault="009925C1" w:rsidP="00D23258">
                                    <w:pPr>
                                      <w:rPr>
                                        <w:rFonts w:cs="Tahoma"/>
                                      </w:rPr>
                                    </w:pPr>
                                    <w:r w:rsidRPr="00385384">
                                      <w:rPr>
                                        <w:rFonts w:cs="Tahoma"/>
                                      </w:rPr>
                                      <w:t>6%</w:t>
                                    </w:r>
                                  </w:p>
                                </w:tc>
                                <w:tc>
                                  <w:tcPr>
                                    <w:tcW w:w="1701" w:type="dxa"/>
                                    <w:vAlign w:val="center"/>
                                  </w:tcPr>
                                  <w:p w14:paraId="605A7F6F" w14:textId="77777777" w:rsidR="009925C1" w:rsidRPr="00385384" w:rsidRDefault="009925C1" w:rsidP="00D23258">
                                    <w:pPr>
                                      <w:rPr>
                                        <w:rFonts w:cs="Tahoma"/>
                                      </w:rPr>
                                    </w:pPr>
                                    <w:r w:rsidRPr="00385384">
                                      <w:rPr>
                                        <w:rFonts w:cs="Tahoma"/>
                                      </w:rPr>
                                      <w:t>13%</w:t>
                                    </w:r>
                                  </w:p>
                                </w:tc>
                              </w:tr>
                              <w:tr w:rsidR="009925C1" w:rsidRPr="00CB687E" w14:paraId="618B4C61" w14:textId="77777777" w:rsidTr="00D23258">
                                <w:trPr>
                                  <w:trHeight w:val="290"/>
                                </w:trPr>
                                <w:tc>
                                  <w:tcPr>
                                    <w:tcW w:w="2547" w:type="dxa"/>
                                    <w:tcBorders>
                                      <w:right w:val="single" w:sz="24" w:space="0" w:color="auto"/>
                                    </w:tcBorders>
                                    <w:noWrap/>
                                    <w:vAlign w:val="center"/>
                                    <w:hideMark/>
                                  </w:tcPr>
                                  <w:p w14:paraId="0E637007" w14:textId="77777777" w:rsidR="009925C1" w:rsidRPr="00385384" w:rsidRDefault="009925C1" w:rsidP="00D23258">
                                    <w:pPr>
                                      <w:rPr>
                                        <w:rFonts w:cs="Tahoma"/>
                                      </w:rPr>
                                    </w:pPr>
                                    <w:r w:rsidRPr="00385384">
                                      <w:rPr>
                                        <w:rFonts w:cs="Tahoma"/>
                                      </w:rPr>
                                      <w:t>Family Status</w:t>
                                    </w:r>
                                  </w:p>
                                </w:tc>
                                <w:tc>
                                  <w:tcPr>
                                    <w:tcW w:w="1276" w:type="dxa"/>
                                    <w:tcBorders>
                                      <w:left w:val="single" w:sz="24" w:space="0" w:color="auto"/>
                                    </w:tcBorders>
                                    <w:vAlign w:val="center"/>
                                    <w:hideMark/>
                                  </w:tcPr>
                                  <w:p w14:paraId="17CD6768" w14:textId="77777777" w:rsidR="009925C1" w:rsidRPr="00385384" w:rsidRDefault="009925C1" w:rsidP="00D23258">
                                    <w:pPr>
                                      <w:rPr>
                                        <w:rFonts w:cs="Tahoma"/>
                                      </w:rPr>
                                    </w:pPr>
                                    <w:r w:rsidRPr="00385384">
                                      <w:rPr>
                                        <w:rFonts w:cs="Tahoma"/>
                                      </w:rPr>
                                      <w:t>1362</w:t>
                                    </w:r>
                                  </w:p>
                                </w:tc>
                                <w:tc>
                                  <w:tcPr>
                                    <w:tcW w:w="1701" w:type="dxa"/>
                                    <w:vAlign w:val="center"/>
                                  </w:tcPr>
                                  <w:p w14:paraId="3E04B05C" w14:textId="77777777" w:rsidR="009925C1" w:rsidRPr="00385384" w:rsidRDefault="009925C1" w:rsidP="00D23258">
                                    <w:pPr>
                                      <w:rPr>
                                        <w:rFonts w:cs="Tahoma"/>
                                      </w:rPr>
                                    </w:pPr>
                                    <w:r w:rsidRPr="00385384">
                                      <w:rPr>
                                        <w:rFonts w:cs="Tahoma"/>
                                      </w:rPr>
                                      <w:t>5.6%</w:t>
                                    </w:r>
                                  </w:p>
                                </w:tc>
                                <w:tc>
                                  <w:tcPr>
                                    <w:tcW w:w="1701" w:type="dxa"/>
                                    <w:vAlign w:val="center"/>
                                  </w:tcPr>
                                  <w:p w14:paraId="54EEA05F" w14:textId="77777777" w:rsidR="009925C1" w:rsidRPr="00385384" w:rsidRDefault="009925C1" w:rsidP="00D23258">
                                    <w:pPr>
                                      <w:rPr>
                                        <w:rFonts w:cs="Tahoma"/>
                                      </w:rPr>
                                    </w:pPr>
                                    <w:r w:rsidRPr="00385384">
                                      <w:rPr>
                                        <w:rFonts w:cs="Tahoma"/>
                                      </w:rPr>
                                      <w:t>10%</w:t>
                                    </w:r>
                                  </w:p>
                                </w:tc>
                              </w:tr>
                              <w:tr w:rsidR="009925C1" w:rsidRPr="00CB687E" w14:paraId="57C434D1" w14:textId="77777777" w:rsidTr="00D23258">
                                <w:trPr>
                                  <w:trHeight w:val="290"/>
                                </w:trPr>
                                <w:tc>
                                  <w:tcPr>
                                    <w:tcW w:w="2547" w:type="dxa"/>
                                    <w:tcBorders>
                                      <w:right w:val="single" w:sz="24" w:space="0" w:color="auto"/>
                                    </w:tcBorders>
                                    <w:noWrap/>
                                    <w:vAlign w:val="center"/>
                                    <w:hideMark/>
                                  </w:tcPr>
                                  <w:p w14:paraId="37FE0659" w14:textId="77777777" w:rsidR="009925C1" w:rsidRPr="00385384" w:rsidRDefault="009925C1" w:rsidP="00D23258">
                                    <w:pPr>
                                      <w:rPr>
                                        <w:rFonts w:cs="Tahoma"/>
                                      </w:rPr>
                                    </w:pPr>
                                    <w:r w:rsidRPr="00385384">
                                      <w:rPr>
                                        <w:rFonts w:cs="Tahoma"/>
                                      </w:rPr>
                                      <w:t>Age</w:t>
                                    </w:r>
                                  </w:p>
                                </w:tc>
                                <w:tc>
                                  <w:tcPr>
                                    <w:tcW w:w="1276" w:type="dxa"/>
                                    <w:tcBorders>
                                      <w:left w:val="single" w:sz="24" w:space="0" w:color="auto"/>
                                    </w:tcBorders>
                                    <w:vAlign w:val="center"/>
                                    <w:hideMark/>
                                  </w:tcPr>
                                  <w:p w14:paraId="27464765" w14:textId="77777777" w:rsidR="009925C1" w:rsidRPr="00385384" w:rsidRDefault="009925C1" w:rsidP="00D23258">
                                    <w:pPr>
                                      <w:rPr>
                                        <w:rFonts w:cs="Tahoma"/>
                                      </w:rPr>
                                    </w:pPr>
                                    <w:r w:rsidRPr="00385384">
                                      <w:rPr>
                                        <w:rFonts w:cs="Tahoma"/>
                                      </w:rPr>
                                      <w:t>1289</w:t>
                                    </w:r>
                                  </w:p>
                                </w:tc>
                                <w:tc>
                                  <w:tcPr>
                                    <w:tcW w:w="1701" w:type="dxa"/>
                                    <w:vAlign w:val="center"/>
                                  </w:tcPr>
                                  <w:p w14:paraId="4E2DB6F9" w14:textId="77777777" w:rsidR="009925C1" w:rsidRPr="00385384" w:rsidRDefault="009925C1" w:rsidP="00D23258">
                                    <w:pPr>
                                      <w:rPr>
                                        <w:rFonts w:cs="Tahoma"/>
                                      </w:rPr>
                                    </w:pPr>
                                    <w:r w:rsidRPr="00385384">
                                      <w:rPr>
                                        <w:rFonts w:cs="Tahoma"/>
                                      </w:rPr>
                                      <w:t>5.3%</w:t>
                                    </w:r>
                                  </w:p>
                                </w:tc>
                                <w:tc>
                                  <w:tcPr>
                                    <w:tcW w:w="1701" w:type="dxa"/>
                                    <w:vAlign w:val="center"/>
                                  </w:tcPr>
                                  <w:p w14:paraId="4AD13AA9" w14:textId="77777777" w:rsidR="009925C1" w:rsidRPr="00385384" w:rsidRDefault="009925C1" w:rsidP="00D23258">
                                    <w:pPr>
                                      <w:rPr>
                                        <w:rFonts w:cs="Tahoma"/>
                                      </w:rPr>
                                    </w:pPr>
                                    <w:r w:rsidRPr="00385384">
                                      <w:rPr>
                                        <w:rFonts w:cs="Tahoma"/>
                                      </w:rPr>
                                      <w:t>12%</w:t>
                                    </w:r>
                                  </w:p>
                                </w:tc>
                              </w:tr>
                              <w:tr w:rsidR="009925C1" w:rsidRPr="00CB687E" w14:paraId="23BC3B90" w14:textId="77777777" w:rsidTr="00D23258">
                                <w:trPr>
                                  <w:trHeight w:val="290"/>
                                </w:trPr>
                                <w:tc>
                                  <w:tcPr>
                                    <w:tcW w:w="2547" w:type="dxa"/>
                                    <w:tcBorders>
                                      <w:right w:val="single" w:sz="24" w:space="0" w:color="auto"/>
                                    </w:tcBorders>
                                    <w:noWrap/>
                                    <w:vAlign w:val="center"/>
                                    <w:hideMark/>
                                  </w:tcPr>
                                  <w:p w14:paraId="1D2B2473" w14:textId="77777777" w:rsidR="009925C1" w:rsidRPr="00385384" w:rsidRDefault="009925C1" w:rsidP="00D23258">
                                    <w:pPr>
                                      <w:rPr>
                                        <w:rFonts w:cs="Tahoma"/>
                                      </w:rPr>
                                    </w:pPr>
                                    <w:r w:rsidRPr="00385384">
                                      <w:rPr>
                                        <w:rFonts w:cs="Tahoma"/>
                                      </w:rPr>
                                      <w:t>Sexual Harassment</w:t>
                                    </w:r>
                                  </w:p>
                                </w:tc>
                                <w:tc>
                                  <w:tcPr>
                                    <w:tcW w:w="1276" w:type="dxa"/>
                                    <w:tcBorders>
                                      <w:left w:val="single" w:sz="24" w:space="0" w:color="auto"/>
                                    </w:tcBorders>
                                    <w:vAlign w:val="center"/>
                                    <w:hideMark/>
                                  </w:tcPr>
                                  <w:p w14:paraId="1B22002F" w14:textId="77777777" w:rsidR="009925C1" w:rsidRPr="00385384" w:rsidRDefault="009925C1" w:rsidP="00D23258">
                                    <w:pPr>
                                      <w:rPr>
                                        <w:rFonts w:cs="Tahoma"/>
                                      </w:rPr>
                                    </w:pPr>
                                    <w:r w:rsidRPr="00385384">
                                      <w:rPr>
                                        <w:rFonts w:cs="Tahoma"/>
                                      </w:rPr>
                                      <w:t>1001</w:t>
                                    </w:r>
                                  </w:p>
                                </w:tc>
                                <w:tc>
                                  <w:tcPr>
                                    <w:tcW w:w="1701" w:type="dxa"/>
                                    <w:vAlign w:val="center"/>
                                  </w:tcPr>
                                  <w:p w14:paraId="026DCB97" w14:textId="77777777" w:rsidR="009925C1" w:rsidRPr="00385384" w:rsidRDefault="009925C1" w:rsidP="00D23258">
                                    <w:pPr>
                                      <w:rPr>
                                        <w:rFonts w:cs="Tahoma"/>
                                      </w:rPr>
                                    </w:pPr>
                                    <w:r w:rsidRPr="00385384">
                                      <w:rPr>
                                        <w:rFonts w:cs="Tahoma"/>
                                      </w:rPr>
                                      <w:t>4.1%</w:t>
                                    </w:r>
                                  </w:p>
                                </w:tc>
                                <w:tc>
                                  <w:tcPr>
                                    <w:tcW w:w="1701" w:type="dxa"/>
                                    <w:vAlign w:val="center"/>
                                  </w:tcPr>
                                  <w:p w14:paraId="49282264" w14:textId="77777777" w:rsidR="009925C1" w:rsidRPr="00385384" w:rsidRDefault="009925C1" w:rsidP="00D23258">
                                    <w:pPr>
                                      <w:rPr>
                                        <w:rFonts w:cs="Tahoma"/>
                                      </w:rPr>
                                    </w:pPr>
                                    <w:r w:rsidRPr="00385384">
                                      <w:rPr>
                                        <w:rFonts w:cs="Tahoma"/>
                                      </w:rPr>
                                      <w:t>15%</w:t>
                                    </w:r>
                                  </w:p>
                                </w:tc>
                              </w:tr>
                              <w:tr w:rsidR="009925C1" w:rsidRPr="00CB687E" w14:paraId="3DC82106" w14:textId="77777777" w:rsidTr="00D23258">
                                <w:trPr>
                                  <w:trHeight w:val="290"/>
                                </w:trPr>
                                <w:tc>
                                  <w:tcPr>
                                    <w:tcW w:w="2547" w:type="dxa"/>
                                    <w:tcBorders>
                                      <w:right w:val="single" w:sz="24" w:space="0" w:color="auto"/>
                                    </w:tcBorders>
                                    <w:noWrap/>
                                    <w:vAlign w:val="center"/>
                                    <w:hideMark/>
                                  </w:tcPr>
                                  <w:p w14:paraId="0745B6A4" w14:textId="77777777" w:rsidR="009925C1" w:rsidRPr="00385384" w:rsidRDefault="009925C1" w:rsidP="00D23258">
                                    <w:pPr>
                                      <w:rPr>
                                        <w:rFonts w:cs="Tahoma"/>
                                      </w:rPr>
                                    </w:pPr>
                                    <w:r w:rsidRPr="00385384">
                                      <w:rPr>
                                        <w:rFonts w:cs="Tahoma"/>
                                      </w:rPr>
                                      <w:t>Creed</w:t>
                                    </w:r>
                                  </w:p>
                                </w:tc>
                                <w:tc>
                                  <w:tcPr>
                                    <w:tcW w:w="1276" w:type="dxa"/>
                                    <w:tcBorders>
                                      <w:left w:val="single" w:sz="24" w:space="0" w:color="auto"/>
                                    </w:tcBorders>
                                    <w:vAlign w:val="center"/>
                                    <w:hideMark/>
                                  </w:tcPr>
                                  <w:p w14:paraId="187C7551" w14:textId="77777777" w:rsidR="009925C1" w:rsidRPr="00385384" w:rsidRDefault="009925C1" w:rsidP="00D23258">
                                    <w:pPr>
                                      <w:rPr>
                                        <w:rFonts w:cs="Tahoma"/>
                                      </w:rPr>
                                    </w:pPr>
                                    <w:r w:rsidRPr="00385384">
                                      <w:rPr>
                                        <w:rFonts w:cs="Tahoma"/>
                                      </w:rPr>
                                      <w:t>956</w:t>
                                    </w:r>
                                  </w:p>
                                </w:tc>
                                <w:tc>
                                  <w:tcPr>
                                    <w:tcW w:w="1701" w:type="dxa"/>
                                    <w:vAlign w:val="center"/>
                                  </w:tcPr>
                                  <w:p w14:paraId="79AD5FB1" w14:textId="77777777" w:rsidR="009925C1" w:rsidRPr="00385384" w:rsidRDefault="009925C1" w:rsidP="00D23258">
                                    <w:pPr>
                                      <w:rPr>
                                        <w:rFonts w:cs="Tahoma"/>
                                      </w:rPr>
                                    </w:pPr>
                                    <w:r w:rsidRPr="00385384">
                                      <w:rPr>
                                        <w:rFonts w:cs="Tahoma"/>
                                      </w:rPr>
                                      <w:t>3.9%</w:t>
                                    </w:r>
                                  </w:p>
                                </w:tc>
                                <w:tc>
                                  <w:tcPr>
                                    <w:tcW w:w="1701" w:type="dxa"/>
                                    <w:vAlign w:val="center"/>
                                  </w:tcPr>
                                  <w:p w14:paraId="0B3CFD25" w14:textId="77777777" w:rsidR="009925C1" w:rsidRPr="00385384" w:rsidRDefault="009925C1" w:rsidP="00D23258">
                                    <w:pPr>
                                      <w:rPr>
                                        <w:rFonts w:cs="Tahoma"/>
                                      </w:rPr>
                                    </w:pPr>
                                    <w:r w:rsidRPr="00385384">
                                      <w:rPr>
                                        <w:rFonts w:cs="Tahoma"/>
                                      </w:rPr>
                                      <w:t>9%</w:t>
                                    </w:r>
                                  </w:p>
                                </w:tc>
                              </w:tr>
                              <w:tr w:rsidR="009925C1" w:rsidRPr="00CB687E" w14:paraId="54F3722B" w14:textId="77777777" w:rsidTr="00D23258">
                                <w:trPr>
                                  <w:trHeight w:val="290"/>
                                </w:trPr>
                                <w:tc>
                                  <w:tcPr>
                                    <w:tcW w:w="2547" w:type="dxa"/>
                                    <w:tcBorders>
                                      <w:right w:val="single" w:sz="24" w:space="0" w:color="auto"/>
                                    </w:tcBorders>
                                    <w:noWrap/>
                                    <w:vAlign w:val="center"/>
                                    <w:hideMark/>
                                  </w:tcPr>
                                  <w:p w14:paraId="41A7BFF1" w14:textId="77777777" w:rsidR="009925C1" w:rsidRPr="00385384" w:rsidRDefault="009925C1" w:rsidP="00D23258">
                                    <w:pPr>
                                      <w:rPr>
                                        <w:rFonts w:cs="Tahoma"/>
                                      </w:rPr>
                                    </w:pPr>
                                    <w:r w:rsidRPr="00385384">
                                      <w:rPr>
                                        <w:rFonts w:cs="Tahoma"/>
                                      </w:rPr>
                                      <w:t>Ancestry</w:t>
                                    </w:r>
                                  </w:p>
                                </w:tc>
                                <w:tc>
                                  <w:tcPr>
                                    <w:tcW w:w="1276" w:type="dxa"/>
                                    <w:tcBorders>
                                      <w:left w:val="single" w:sz="24" w:space="0" w:color="auto"/>
                                    </w:tcBorders>
                                    <w:vAlign w:val="center"/>
                                    <w:hideMark/>
                                  </w:tcPr>
                                  <w:p w14:paraId="5B7B5571" w14:textId="77777777" w:rsidR="009925C1" w:rsidRPr="00385384" w:rsidRDefault="009925C1" w:rsidP="00D23258">
                                    <w:pPr>
                                      <w:rPr>
                                        <w:rFonts w:cs="Tahoma"/>
                                      </w:rPr>
                                    </w:pPr>
                                    <w:r w:rsidRPr="00385384">
                                      <w:rPr>
                                        <w:rFonts w:cs="Tahoma"/>
                                      </w:rPr>
                                      <w:t>749</w:t>
                                    </w:r>
                                  </w:p>
                                </w:tc>
                                <w:tc>
                                  <w:tcPr>
                                    <w:tcW w:w="1701" w:type="dxa"/>
                                    <w:vAlign w:val="center"/>
                                  </w:tcPr>
                                  <w:p w14:paraId="2589C88A" w14:textId="77777777" w:rsidR="009925C1" w:rsidRPr="00385384" w:rsidRDefault="009925C1" w:rsidP="00D23258">
                                    <w:pPr>
                                      <w:rPr>
                                        <w:rFonts w:cs="Tahoma"/>
                                      </w:rPr>
                                    </w:pPr>
                                    <w:r w:rsidRPr="00385384">
                                      <w:rPr>
                                        <w:rFonts w:cs="Tahoma"/>
                                      </w:rPr>
                                      <w:t>3%</w:t>
                                    </w:r>
                                  </w:p>
                                </w:tc>
                                <w:tc>
                                  <w:tcPr>
                                    <w:tcW w:w="1701" w:type="dxa"/>
                                    <w:vAlign w:val="center"/>
                                  </w:tcPr>
                                  <w:p w14:paraId="31DF0C9B" w14:textId="77777777" w:rsidR="009925C1" w:rsidRPr="00385384" w:rsidRDefault="009925C1" w:rsidP="00D23258">
                                    <w:pPr>
                                      <w:rPr>
                                        <w:rFonts w:cs="Tahoma"/>
                                      </w:rPr>
                                    </w:pPr>
                                    <w:r w:rsidRPr="00385384">
                                      <w:rPr>
                                        <w:rFonts w:cs="Tahoma"/>
                                      </w:rPr>
                                      <w:t>12%</w:t>
                                    </w:r>
                                  </w:p>
                                </w:tc>
                              </w:tr>
                              <w:tr w:rsidR="009925C1" w:rsidRPr="00CB687E" w14:paraId="4BB3BEA8" w14:textId="77777777" w:rsidTr="00D23258">
                                <w:trPr>
                                  <w:trHeight w:val="290"/>
                                </w:trPr>
                                <w:tc>
                                  <w:tcPr>
                                    <w:tcW w:w="2547" w:type="dxa"/>
                                    <w:tcBorders>
                                      <w:right w:val="single" w:sz="24" w:space="0" w:color="auto"/>
                                    </w:tcBorders>
                                    <w:noWrap/>
                                    <w:vAlign w:val="center"/>
                                    <w:hideMark/>
                                  </w:tcPr>
                                  <w:p w14:paraId="1A6FCFFD" w14:textId="77777777" w:rsidR="009925C1" w:rsidRPr="00385384" w:rsidRDefault="009925C1" w:rsidP="00D23258">
                                    <w:pPr>
                                      <w:rPr>
                                        <w:rFonts w:cs="Tahoma"/>
                                      </w:rPr>
                                    </w:pPr>
                                    <w:r w:rsidRPr="00385384">
                                      <w:rPr>
                                        <w:rFonts w:cs="Tahoma"/>
                                      </w:rPr>
                                      <w:t>Sexual Orientation</w:t>
                                    </w:r>
                                  </w:p>
                                </w:tc>
                                <w:tc>
                                  <w:tcPr>
                                    <w:tcW w:w="1276" w:type="dxa"/>
                                    <w:tcBorders>
                                      <w:left w:val="single" w:sz="24" w:space="0" w:color="auto"/>
                                    </w:tcBorders>
                                    <w:vAlign w:val="center"/>
                                    <w:hideMark/>
                                  </w:tcPr>
                                  <w:p w14:paraId="4E8AD3C2" w14:textId="77777777" w:rsidR="009925C1" w:rsidRPr="00385384" w:rsidRDefault="009925C1" w:rsidP="00D23258">
                                    <w:pPr>
                                      <w:rPr>
                                        <w:rFonts w:cs="Tahoma"/>
                                      </w:rPr>
                                    </w:pPr>
                                    <w:r w:rsidRPr="00385384">
                                      <w:rPr>
                                        <w:rFonts w:cs="Tahoma"/>
                                      </w:rPr>
                                      <w:t>464</w:t>
                                    </w:r>
                                  </w:p>
                                </w:tc>
                                <w:tc>
                                  <w:tcPr>
                                    <w:tcW w:w="1701" w:type="dxa"/>
                                    <w:vAlign w:val="center"/>
                                  </w:tcPr>
                                  <w:p w14:paraId="3EEA91D1" w14:textId="77777777" w:rsidR="009925C1" w:rsidRPr="00385384" w:rsidRDefault="009925C1" w:rsidP="00D23258">
                                    <w:pPr>
                                      <w:rPr>
                                        <w:rFonts w:cs="Tahoma"/>
                                      </w:rPr>
                                    </w:pPr>
                                    <w:r w:rsidRPr="00385384">
                                      <w:rPr>
                                        <w:rFonts w:cs="Tahoma"/>
                                      </w:rPr>
                                      <w:t>1.9%</w:t>
                                    </w:r>
                                  </w:p>
                                </w:tc>
                                <w:tc>
                                  <w:tcPr>
                                    <w:tcW w:w="1701" w:type="dxa"/>
                                    <w:vAlign w:val="center"/>
                                  </w:tcPr>
                                  <w:p w14:paraId="47E8DEAF" w14:textId="77777777" w:rsidR="009925C1" w:rsidRPr="00385384" w:rsidRDefault="009925C1" w:rsidP="00D23258">
                                    <w:pPr>
                                      <w:rPr>
                                        <w:rFonts w:cs="Tahoma"/>
                                      </w:rPr>
                                    </w:pPr>
                                    <w:r w:rsidRPr="00385384">
                                      <w:rPr>
                                        <w:rFonts w:cs="Tahoma"/>
                                      </w:rPr>
                                      <w:t>2%</w:t>
                                    </w:r>
                                  </w:p>
                                </w:tc>
                              </w:tr>
                              <w:tr w:rsidR="009925C1" w:rsidRPr="00CB687E" w14:paraId="2AEABFAA" w14:textId="77777777" w:rsidTr="00D23258">
                                <w:trPr>
                                  <w:trHeight w:val="290"/>
                                </w:trPr>
                                <w:tc>
                                  <w:tcPr>
                                    <w:tcW w:w="2547" w:type="dxa"/>
                                    <w:tcBorders>
                                      <w:right w:val="single" w:sz="24" w:space="0" w:color="auto"/>
                                    </w:tcBorders>
                                    <w:noWrap/>
                                    <w:vAlign w:val="center"/>
                                    <w:hideMark/>
                                  </w:tcPr>
                                  <w:p w14:paraId="49A62020" w14:textId="77777777" w:rsidR="009925C1" w:rsidRPr="00385384" w:rsidRDefault="009925C1" w:rsidP="00D23258">
                                    <w:pPr>
                                      <w:rPr>
                                        <w:rFonts w:cs="Tahoma"/>
                                      </w:rPr>
                                    </w:pPr>
                                    <w:r w:rsidRPr="00385384">
                                      <w:rPr>
                                        <w:rFonts w:cs="Tahoma"/>
                                      </w:rPr>
                                      <w:t>Gender Identity</w:t>
                                    </w:r>
                                  </w:p>
                                </w:tc>
                                <w:tc>
                                  <w:tcPr>
                                    <w:tcW w:w="1276" w:type="dxa"/>
                                    <w:tcBorders>
                                      <w:left w:val="single" w:sz="24" w:space="0" w:color="auto"/>
                                    </w:tcBorders>
                                    <w:vAlign w:val="center"/>
                                    <w:hideMark/>
                                  </w:tcPr>
                                  <w:p w14:paraId="052B5773" w14:textId="77777777" w:rsidR="009925C1" w:rsidRPr="00385384" w:rsidRDefault="009925C1" w:rsidP="00D23258">
                                    <w:pPr>
                                      <w:rPr>
                                        <w:rFonts w:cs="Tahoma"/>
                                      </w:rPr>
                                    </w:pPr>
                                    <w:r w:rsidRPr="00385384">
                                      <w:rPr>
                                        <w:rFonts w:cs="Tahoma"/>
                                      </w:rPr>
                                      <w:t>444</w:t>
                                    </w:r>
                                  </w:p>
                                </w:tc>
                                <w:tc>
                                  <w:tcPr>
                                    <w:tcW w:w="1701" w:type="dxa"/>
                                    <w:vAlign w:val="center"/>
                                  </w:tcPr>
                                  <w:p w14:paraId="6AC698DD" w14:textId="77777777" w:rsidR="009925C1" w:rsidRPr="00385384" w:rsidRDefault="009925C1" w:rsidP="00D23258">
                                    <w:pPr>
                                      <w:rPr>
                                        <w:rFonts w:cs="Tahoma"/>
                                      </w:rPr>
                                    </w:pPr>
                                    <w:r w:rsidRPr="00385384">
                                      <w:rPr>
                                        <w:rFonts w:cs="Tahoma"/>
                                      </w:rPr>
                                      <w:t>1.8%</w:t>
                                    </w:r>
                                  </w:p>
                                </w:tc>
                                <w:tc>
                                  <w:tcPr>
                                    <w:tcW w:w="1701" w:type="dxa"/>
                                    <w:vAlign w:val="center"/>
                                  </w:tcPr>
                                  <w:p w14:paraId="5FE33811" w14:textId="77777777" w:rsidR="009925C1" w:rsidRPr="00385384" w:rsidRDefault="009925C1" w:rsidP="00D23258">
                                    <w:pPr>
                                      <w:rPr>
                                        <w:rFonts w:cs="Tahoma"/>
                                      </w:rPr>
                                    </w:pPr>
                                    <w:r w:rsidRPr="00385384">
                                      <w:rPr>
                                        <w:rFonts w:cs="Tahoma"/>
                                      </w:rPr>
                                      <w:t>8%</w:t>
                                    </w:r>
                                  </w:p>
                                </w:tc>
                              </w:tr>
                              <w:tr w:rsidR="009925C1" w:rsidRPr="00CB687E" w14:paraId="5FBA8EA6" w14:textId="77777777" w:rsidTr="00D23258">
                                <w:trPr>
                                  <w:trHeight w:val="290"/>
                                </w:trPr>
                                <w:tc>
                                  <w:tcPr>
                                    <w:tcW w:w="2547" w:type="dxa"/>
                                    <w:tcBorders>
                                      <w:right w:val="single" w:sz="24" w:space="0" w:color="auto"/>
                                    </w:tcBorders>
                                    <w:noWrap/>
                                    <w:vAlign w:val="center"/>
                                    <w:hideMark/>
                                  </w:tcPr>
                                  <w:p w14:paraId="0AC7AE49" w14:textId="77777777" w:rsidR="009925C1" w:rsidRPr="00385384" w:rsidRDefault="009925C1" w:rsidP="00D23258">
                                    <w:pPr>
                                      <w:rPr>
                                        <w:rFonts w:cs="Tahoma"/>
                                      </w:rPr>
                                    </w:pPr>
                                    <w:r w:rsidRPr="00385384">
                                      <w:rPr>
                                        <w:rFonts w:cs="Tahoma"/>
                                      </w:rPr>
                                      <w:t>Citizenship</w:t>
                                    </w:r>
                                  </w:p>
                                </w:tc>
                                <w:tc>
                                  <w:tcPr>
                                    <w:tcW w:w="1276" w:type="dxa"/>
                                    <w:tcBorders>
                                      <w:left w:val="single" w:sz="24" w:space="0" w:color="auto"/>
                                    </w:tcBorders>
                                    <w:vAlign w:val="center"/>
                                    <w:hideMark/>
                                  </w:tcPr>
                                  <w:p w14:paraId="2975CB9C" w14:textId="77777777" w:rsidR="009925C1" w:rsidRPr="00385384" w:rsidRDefault="009925C1" w:rsidP="00D23258">
                                    <w:pPr>
                                      <w:rPr>
                                        <w:rFonts w:cs="Tahoma"/>
                                      </w:rPr>
                                    </w:pPr>
                                    <w:r w:rsidRPr="00385384">
                                      <w:rPr>
                                        <w:rFonts w:cs="Tahoma"/>
                                      </w:rPr>
                                      <w:t>416</w:t>
                                    </w:r>
                                  </w:p>
                                </w:tc>
                                <w:tc>
                                  <w:tcPr>
                                    <w:tcW w:w="1701" w:type="dxa"/>
                                    <w:vAlign w:val="center"/>
                                  </w:tcPr>
                                  <w:p w14:paraId="2710F624" w14:textId="77777777" w:rsidR="009925C1" w:rsidRPr="00385384" w:rsidRDefault="009925C1" w:rsidP="00D23258">
                                    <w:pPr>
                                      <w:rPr>
                                        <w:rFonts w:cs="Tahoma"/>
                                      </w:rPr>
                                    </w:pPr>
                                    <w:r w:rsidRPr="00385384">
                                      <w:rPr>
                                        <w:rFonts w:cs="Tahoma"/>
                                      </w:rPr>
                                      <w:t>1.7%</w:t>
                                    </w:r>
                                  </w:p>
                                </w:tc>
                                <w:tc>
                                  <w:tcPr>
                                    <w:tcW w:w="1701" w:type="dxa"/>
                                    <w:vAlign w:val="center"/>
                                  </w:tcPr>
                                  <w:p w14:paraId="50BF8E15" w14:textId="77777777" w:rsidR="009925C1" w:rsidRPr="00385384" w:rsidRDefault="009925C1" w:rsidP="00D23258">
                                    <w:pPr>
                                      <w:rPr>
                                        <w:rFonts w:cs="Tahoma"/>
                                      </w:rPr>
                                    </w:pPr>
                                    <w:r w:rsidRPr="00385384">
                                      <w:rPr>
                                        <w:rFonts w:cs="Tahoma"/>
                                      </w:rPr>
                                      <w:t>5%</w:t>
                                    </w:r>
                                  </w:p>
                                </w:tc>
                              </w:tr>
                              <w:tr w:rsidR="009925C1" w:rsidRPr="00CB687E" w14:paraId="5612AC9C" w14:textId="77777777" w:rsidTr="00D23258">
                                <w:trPr>
                                  <w:trHeight w:val="290"/>
                                </w:trPr>
                                <w:tc>
                                  <w:tcPr>
                                    <w:tcW w:w="2547" w:type="dxa"/>
                                    <w:tcBorders>
                                      <w:right w:val="single" w:sz="24" w:space="0" w:color="auto"/>
                                    </w:tcBorders>
                                    <w:noWrap/>
                                    <w:vAlign w:val="center"/>
                                    <w:hideMark/>
                                  </w:tcPr>
                                  <w:p w14:paraId="12FF5A0A" w14:textId="77777777" w:rsidR="009925C1" w:rsidRPr="00385384" w:rsidRDefault="009925C1" w:rsidP="00D23258">
                                    <w:pPr>
                                      <w:rPr>
                                        <w:rFonts w:cs="Tahoma"/>
                                      </w:rPr>
                                    </w:pPr>
                                    <w:r w:rsidRPr="00385384">
                                      <w:rPr>
                                        <w:rFonts w:cs="Tahoma"/>
                                      </w:rPr>
                                      <w:t>Sexual Solicitation, Advances or Reprisals</w:t>
                                    </w:r>
                                  </w:p>
                                </w:tc>
                                <w:tc>
                                  <w:tcPr>
                                    <w:tcW w:w="1276" w:type="dxa"/>
                                    <w:tcBorders>
                                      <w:left w:val="single" w:sz="24" w:space="0" w:color="auto"/>
                                    </w:tcBorders>
                                    <w:vAlign w:val="center"/>
                                    <w:hideMark/>
                                  </w:tcPr>
                                  <w:p w14:paraId="692DDC0A" w14:textId="77777777" w:rsidR="009925C1" w:rsidRPr="00385384" w:rsidRDefault="009925C1" w:rsidP="00D23258">
                                    <w:pPr>
                                      <w:rPr>
                                        <w:rFonts w:cs="Tahoma"/>
                                      </w:rPr>
                                    </w:pPr>
                                    <w:r w:rsidRPr="00385384">
                                      <w:rPr>
                                        <w:rFonts w:cs="Tahoma"/>
                                      </w:rPr>
                                      <w:t>386</w:t>
                                    </w:r>
                                  </w:p>
                                </w:tc>
                                <w:tc>
                                  <w:tcPr>
                                    <w:tcW w:w="1701" w:type="dxa"/>
                                    <w:vAlign w:val="center"/>
                                  </w:tcPr>
                                  <w:p w14:paraId="1F5F647F" w14:textId="77777777" w:rsidR="009925C1" w:rsidRPr="00385384" w:rsidRDefault="009925C1" w:rsidP="00D23258">
                                    <w:pPr>
                                      <w:rPr>
                                        <w:rFonts w:cs="Tahoma"/>
                                      </w:rPr>
                                    </w:pPr>
                                    <w:r w:rsidRPr="00385384">
                                      <w:rPr>
                                        <w:rFonts w:cs="Tahoma"/>
                                      </w:rPr>
                                      <w:t>1.6%</w:t>
                                    </w:r>
                                  </w:p>
                                </w:tc>
                                <w:tc>
                                  <w:tcPr>
                                    <w:tcW w:w="1701" w:type="dxa"/>
                                    <w:vAlign w:val="center"/>
                                  </w:tcPr>
                                  <w:p w14:paraId="299F0F17" w14:textId="77777777" w:rsidR="009925C1" w:rsidRPr="00385384" w:rsidRDefault="009925C1" w:rsidP="00D23258">
                                    <w:pPr>
                                      <w:rPr>
                                        <w:rFonts w:cs="Tahoma"/>
                                      </w:rPr>
                                    </w:pPr>
                                    <w:r w:rsidRPr="00385384">
                                      <w:rPr>
                                        <w:rFonts w:cs="Tahoma"/>
                                      </w:rPr>
                                      <w:t>5%</w:t>
                                    </w:r>
                                  </w:p>
                                </w:tc>
                              </w:tr>
                              <w:tr w:rsidR="009925C1" w:rsidRPr="00CB687E" w14:paraId="540ADD7F" w14:textId="77777777" w:rsidTr="00D23258">
                                <w:trPr>
                                  <w:trHeight w:val="290"/>
                                </w:trPr>
                                <w:tc>
                                  <w:tcPr>
                                    <w:tcW w:w="2547" w:type="dxa"/>
                                    <w:tcBorders>
                                      <w:right w:val="single" w:sz="24" w:space="0" w:color="auto"/>
                                    </w:tcBorders>
                                    <w:noWrap/>
                                    <w:vAlign w:val="center"/>
                                    <w:hideMark/>
                                  </w:tcPr>
                                  <w:p w14:paraId="2574D2E9" w14:textId="77777777" w:rsidR="009925C1" w:rsidRPr="00385384" w:rsidRDefault="009925C1" w:rsidP="00D23258">
                                    <w:pPr>
                                      <w:rPr>
                                        <w:rFonts w:cs="Tahoma"/>
                                      </w:rPr>
                                    </w:pPr>
                                    <w:r w:rsidRPr="00385384">
                                      <w:rPr>
                                        <w:rFonts w:cs="Tahoma"/>
                                      </w:rPr>
                                      <w:t>Gender Expression</w:t>
                                    </w:r>
                                  </w:p>
                                </w:tc>
                                <w:tc>
                                  <w:tcPr>
                                    <w:tcW w:w="1276" w:type="dxa"/>
                                    <w:tcBorders>
                                      <w:left w:val="single" w:sz="24" w:space="0" w:color="auto"/>
                                    </w:tcBorders>
                                    <w:vAlign w:val="center"/>
                                    <w:hideMark/>
                                  </w:tcPr>
                                  <w:p w14:paraId="0DCC0040" w14:textId="77777777" w:rsidR="009925C1" w:rsidRPr="00385384" w:rsidRDefault="009925C1" w:rsidP="00D23258">
                                    <w:pPr>
                                      <w:rPr>
                                        <w:rFonts w:cs="Tahoma"/>
                                      </w:rPr>
                                    </w:pPr>
                                    <w:r w:rsidRPr="00385384">
                                      <w:rPr>
                                        <w:rFonts w:cs="Tahoma"/>
                                      </w:rPr>
                                      <w:t>312</w:t>
                                    </w:r>
                                  </w:p>
                                </w:tc>
                                <w:tc>
                                  <w:tcPr>
                                    <w:tcW w:w="1701" w:type="dxa"/>
                                    <w:vAlign w:val="center"/>
                                  </w:tcPr>
                                  <w:p w14:paraId="6632554A" w14:textId="77777777" w:rsidR="009925C1" w:rsidRPr="00385384" w:rsidRDefault="009925C1" w:rsidP="00D23258">
                                    <w:pPr>
                                      <w:rPr>
                                        <w:rFonts w:cs="Tahoma"/>
                                      </w:rPr>
                                    </w:pPr>
                                    <w:r w:rsidRPr="00385384">
                                      <w:rPr>
                                        <w:rFonts w:cs="Tahoma"/>
                                      </w:rPr>
                                      <w:t>1.3%</w:t>
                                    </w:r>
                                  </w:p>
                                </w:tc>
                                <w:tc>
                                  <w:tcPr>
                                    <w:tcW w:w="1701" w:type="dxa"/>
                                    <w:vAlign w:val="center"/>
                                  </w:tcPr>
                                  <w:p w14:paraId="33FEE102" w14:textId="77777777" w:rsidR="009925C1" w:rsidRPr="00385384" w:rsidRDefault="009925C1" w:rsidP="00D23258">
                                    <w:pPr>
                                      <w:rPr>
                                        <w:rFonts w:cs="Tahoma"/>
                                      </w:rPr>
                                    </w:pPr>
                                    <w:r w:rsidRPr="00385384">
                                      <w:rPr>
                                        <w:rFonts w:cs="Tahoma"/>
                                      </w:rPr>
                                      <w:t>6%</w:t>
                                    </w:r>
                                  </w:p>
                                </w:tc>
                              </w:tr>
                              <w:tr w:rsidR="009925C1" w:rsidRPr="00CB687E" w14:paraId="3FC1F2D2" w14:textId="77777777" w:rsidTr="00D23258">
                                <w:trPr>
                                  <w:trHeight w:val="290"/>
                                </w:trPr>
                                <w:tc>
                                  <w:tcPr>
                                    <w:tcW w:w="2547" w:type="dxa"/>
                                    <w:tcBorders>
                                      <w:right w:val="single" w:sz="24" w:space="0" w:color="auto"/>
                                    </w:tcBorders>
                                    <w:noWrap/>
                                    <w:vAlign w:val="center"/>
                                    <w:hideMark/>
                                  </w:tcPr>
                                  <w:p w14:paraId="3FE02DD3" w14:textId="77777777" w:rsidR="009925C1" w:rsidRPr="00385384" w:rsidRDefault="009925C1" w:rsidP="00D23258">
                                    <w:pPr>
                                      <w:rPr>
                                        <w:rFonts w:cs="Tahoma"/>
                                      </w:rPr>
                                    </w:pPr>
                                    <w:r w:rsidRPr="00385384">
                                      <w:rPr>
                                        <w:rFonts w:cs="Tahoma"/>
                                      </w:rPr>
                                      <w:t>Marital Status</w:t>
                                    </w:r>
                                  </w:p>
                                </w:tc>
                                <w:tc>
                                  <w:tcPr>
                                    <w:tcW w:w="1276" w:type="dxa"/>
                                    <w:tcBorders>
                                      <w:left w:val="single" w:sz="24" w:space="0" w:color="auto"/>
                                    </w:tcBorders>
                                    <w:vAlign w:val="center"/>
                                    <w:hideMark/>
                                  </w:tcPr>
                                  <w:p w14:paraId="164AC595" w14:textId="77777777" w:rsidR="009925C1" w:rsidRPr="00385384" w:rsidRDefault="009925C1" w:rsidP="00D23258">
                                    <w:pPr>
                                      <w:rPr>
                                        <w:rFonts w:cs="Tahoma"/>
                                      </w:rPr>
                                    </w:pPr>
                                    <w:r w:rsidRPr="00385384">
                                      <w:rPr>
                                        <w:rFonts w:cs="Tahoma"/>
                                      </w:rPr>
                                      <w:t>292</w:t>
                                    </w:r>
                                  </w:p>
                                </w:tc>
                                <w:tc>
                                  <w:tcPr>
                                    <w:tcW w:w="1701" w:type="dxa"/>
                                    <w:vAlign w:val="center"/>
                                  </w:tcPr>
                                  <w:p w14:paraId="4D8A9502" w14:textId="77777777" w:rsidR="009925C1" w:rsidRPr="00385384" w:rsidRDefault="009925C1" w:rsidP="00D23258">
                                    <w:pPr>
                                      <w:rPr>
                                        <w:rFonts w:cs="Tahoma"/>
                                      </w:rPr>
                                    </w:pPr>
                                    <w:r w:rsidRPr="00385384">
                                      <w:rPr>
                                        <w:rFonts w:cs="Tahoma"/>
                                      </w:rPr>
                                      <w:t>1.2%</w:t>
                                    </w:r>
                                  </w:p>
                                </w:tc>
                                <w:tc>
                                  <w:tcPr>
                                    <w:tcW w:w="1701" w:type="dxa"/>
                                    <w:vAlign w:val="center"/>
                                  </w:tcPr>
                                  <w:p w14:paraId="58834A30" w14:textId="77777777" w:rsidR="009925C1" w:rsidRPr="00385384" w:rsidRDefault="009925C1" w:rsidP="00D23258">
                                    <w:pPr>
                                      <w:rPr>
                                        <w:rFonts w:cs="Tahoma"/>
                                      </w:rPr>
                                    </w:pPr>
                                    <w:r w:rsidRPr="00385384">
                                      <w:rPr>
                                        <w:rFonts w:cs="Tahoma"/>
                                      </w:rPr>
                                      <w:t>6%</w:t>
                                    </w:r>
                                  </w:p>
                                </w:tc>
                              </w:tr>
                              <w:tr w:rsidR="009925C1" w:rsidRPr="00CB687E" w14:paraId="08F61AE4" w14:textId="77777777" w:rsidTr="00D23258">
                                <w:trPr>
                                  <w:trHeight w:val="290"/>
                                </w:trPr>
                                <w:tc>
                                  <w:tcPr>
                                    <w:tcW w:w="2547" w:type="dxa"/>
                                    <w:tcBorders>
                                      <w:right w:val="single" w:sz="24" w:space="0" w:color="auto"/>
                                    </w:tcBorders>
                                    <w:noWrap/>
                                    <w:vAlign w:val="center"/>
                                    <w:hideMark/>
                                  </w:tcPr>
                                  <w:p w14:paraId="0E8D44E6" w14:textId="77777777" w:rsidR="009925C1" w:rsidRPr="00385384" w:rsidRDefault="009925C1" w:rsidP="00D23258">
                                    <w:pPr>
                                      <w:rPr>
                                        <w:rFonts w:cs="Tahoma"/>
                                      </w:rPr>
                                    </w:pPr>
                                    <w:r w:rsidRPr="00385384">
                                      <w:rPr>
                                        <w:rFonts w:cs="Tahoma"/>
                                      </w:rPr>
                                      <w:t>Receipt of Public Assistance (in housing)</w:t>
                                    </w:r>
                                  </w:p>
                                </w:tc>
                                <w:tc>
                                  <w:tcPr>
                                    <w:tcW w:w="1276" w:type="dxa"/>
                                    <w:tcBorders>
                                      <w:left w:val="single" w:sz="24" w:space="0" w:color="auto"/>
                                    </w:tcBorders>
                                    <w:vAlign w:val="center"/>
                                    <w:hideMark/>
                                  </w:tcPr>
                                  <w:p w14:paraId="5C98E087" w14:textId="77777777" w:rsidR="009925C1" w:rsidRPr="00385384" w:rsidRDefault="009925C1" w:rsidP="00D23258">
                                    <w:pPr>
                                      <w:rPr>
                                        <w:rFonts w:cs="Tahoma"/>
                                      </w:rPr>
                                    </w:pPr>
                                    <w:r w:rsidRPr="00385384">
                                      <w:rPr>
                                        <w:rFonts w:cs="Tahoma"/>
                                      </w:rPr>
                                      <w:t>286</w:t>
                                    </w:r>
                                  </w:p>
                                </w:tc>
                                <w:tc>
                                  <w:tcPr>
                                    <w:tcW w:w="1701" w:type="dxa"/>
                                    <w:vAlign w:val="center"/>
                                  </w:tcPr>
                                  <w:p w14:paraId="6FEA84FD" w14:textId="77777777" w:rsidR="009925C1" w:rsidRPr="00385384" w:rsidRDefault="009925C1" w:rsidP="00D23258">
                                    <w:pPr>
                                      <w:rPr>
                                        <w:rFonts w:cs="Tahoma"/>
                                      </w:rPr>
                                    </w:pPr>
                                    <w:r w:rsidRPr="00385384">
                                      <w:rPr>
                                        <w:rFonts w:cs="Tahoma"/>
                                      </w:rPr>
                                      <w:t>1.2%</w:t>
                                    </w:r>
                                  </w:p>
                                </w:tc>
                                <w:tc>
                                  <w:tcPr>
                                    <w:tcW w:w="1701" w:type="dxa"/>
                                    <w:vAlign w:val="center"/>
                                  </w:tcPr>
                                  <w:p w14:paraId="12FCD7F9" w14:textId="77777777" w:rsidR="009925C1" w:rsidRPr="00385384" w:rsidRDefault="009925C1" w:rsidP="00D23258">
                                    <w:pPr>
                                      <w:rPr>
                                        <w:rFonts w:cs="Tahoma"/>
                                      </w:rPr>
                                    </w:pPr>
                                    <w:r w:rsidRPr="00385384">
                                      <w:rPr>
                                        <w:rFonts w:cs="Tahoma"/>
                                      </w:rPr>
                                      <w:t>2%</w:t>
                                    </w:r>
                                  </w:p>
                                </w:tc>
                              </w:tr>
                              <w:tr w:rsidR="009925C1" w:rsidRPr="00CB687E" w14:paraId="57CDFF51" w14:textId="77777777" w:rsidTr="00D23258">
                                <w:trPr>
                                  <w:trHeight w:val="290"/>
                                </w:trPr>
                                <w:tc>
                                  <w:tcPr>
                                    <w:tcW w:w="2547" w:type="dxa"/>
                                    <w:tcBorders>
                                      <w:right w:val="single" w:sz="24" w:space="0" w:color="auto"/>
                                    </w:tcBorders>
                                    <w:noWrap/>
                                    <w:vAlign w:val="center"/>
                                    <w:hideMark/>
                                  </w:tcPr>
                                  <w:p w14:paraId="64724F7A" w14:textId="77777777" w:rsidR="009925C1" w:rsidRPr="00385384" w:rsidRDefault="009925C1" w:rsidP="00D23258">
                                    <w:pPr>
                                      <w:rPr>
                                        <w:rFonts w:cs="Tahoma"/>
                                      </w:rPr>
                                    </w:pPr>
                                    <w:r w:rsidRPr="00385384">
                                      <w:rPr>
                                        <w:rFonts w:cs="Tahoma"/>
                                      </w:rPr>
                                      <w:t xml:space="preserve">Record of Offences (in employment) </w:t>
                                    </w:r>
                                  </w:p>
                                </w:tc>
                                <w:tc>
                                  <w:tcPr>
                                    <w:tcW w:w="1276" w:type="dxa"/>
                                    <w:tcBorders>
                                      <w:left w:val="single" w:sz="24" w:space="0" w:color="auto"/>
                                    </w:tcBorders>
                                    <w:vAlign w:val="center"/>
                                    <w:hideMark/>
                                  </w:tcPr>
                                  <w:p w14:paraId="105FF36F" w14:textId="77777777" w:rsidR="009925C1" w:rsidRPr="00385384" w:rsidRDefault="009925C1" w:rsidP="00D23258">
                                    <w:pPr>
                                      <w:rPr>
                                        <w:rFonts w:cs="Tahoma"/>
                                      </w:rPr>
                                    </w:pPr>
                                    <w:r w:rsidRPr="00385384">
                                      <w:rPr>
                                        <w:rFonts w:cs="Tahoma"/>
                                      </w:rPr>
                                      <w:t>109</w:t>
                                    </w:r>
                                  </w:p>
                                </w:tc>
                                <w:tc>
                                  <w:tcPr>
                                    <w:tcW w:w="1701" w:type="dxa"/>
                                    <w:vAlign w:val="center"/>
                                  </w:tcPr>
                                  <w:p w14:paraId="4C0AA351" w14:textId="77777777" w:rsidR="009925C1" w:rsidRPr="00385384" w:rsidRDefault="009925C1" w:rsidP="00D23258">
                                    <w:pPr>
                                      <w:rPr>
                                        <w:rFonts w:cs="Tahoma"/>
                                      </w:rPr>
                                    </w:pPr>
                                    <w:r w:rsidRPr="00385384">
                                      <w:rPr>
                                        <w:rFonts w:cs="Tahoma"/>
                                      </w:rPr>
                                      <w:t>0.4%</w:t>
                                    </w:r>
                                  </w:p>
                                </w:tc>
                                <w:tc>
                                  <w:tcPr>
                                    <w:tcW w:w="1701" w:type="dxa"/>
                                    <w:vAlign w:val="center"/>
                                  </w:tcPr>
                                  <w:p w14:paraId="4F284AE4" w14:textId="77777777" w:rsidR="009925C1" w:rsidRPr="00385384" w:rsidRDefault="009925C1" w:rsidP="00D23258">
                                    <w:pPr>
                                      <w:rPr>
                                        <w:rFonts w:cs="Tahoma"/>
                                      </w:rPr>
                                    </w:pPr>
                                    <w:r w:rsidRPr="00385384">
                                      <w:rPr>
                                        <w:rFonts w:cs="Tahoma"/>
                                      </w:rPr>
                                      <w:t>1%</w:t>
                                    </w:r>
                                  </w:p>
                                </w:tc>
                              </w:tr>
                            </w:tbl>
                            <w:p w14:paraId="496C67A6" w14:textId="4720CB8C" w:rsidR="009925C1" w:rsidRPr="00F30540" w:rsidRDefault="00F30540" w:rsidP="009925C1">
                              <w:r w:rsidRPr="00F30540">
                                <w:rPr>
                                  <w:rFonts w:eastAsiaTheme="minorEastAsia" w:cs="Tahoma"/>
                                </w:rPr>
                                <w:t>*Calculated based on a total of 24,426 inquiries; some i</w:t>
                              </w:r>
                              <w:r w:rsidRPr="00F30540">
                                <w:rPr>
                                  <w:rFonts w:cs="Tahoma"/>
                                </w:rPr>
                                <w:t>ntake calls cite discrimination on more than one ground, so the total exceeds 100%.</w:t>
                              </w:r>
                            </w:p>
                          </w:txbxContent>
                        </wps:txbx>
                        <wps:bodyPr rot="0" vert="horz" wrap="square" lIns="91440" tIns="45720" rIns="91440" bIns="45720" anchor="t" anchorCtr="0">
                          <a:noAutofit/>
                        </wps:bodyPr>
                      </wps:wsp>
                      <wps:wsp>
                        <wps:cNvPr id="1576511221" name="Text Box 4"/>
                        <wps:cNvSpPr txBox="1"/>
                        <wps:spPr>
                          <a:xfrm>
                            <a:off x="4800344" y="0"/>
                            <a:ext cx="3907609" cy="2775625"/>
                          </a:xfrm>
                          <a:prstGeom prst="rect">
                            <a:avLst/>
                          </a:prstGeom>
                          <a:solidFill>
                            <a:schemeClr val="lt1"/>
                          </a:solidFill>
                          <a:ln w="6350">
                            <a:solidFill>
                              <a:schemeClr val="bg1"/>
                            </a:solidFill>
                          </a:ln>
                        </wps:spPr>
                        <wps:txbx>
                          <w:txbxContent>
                            <w:tbl>
                              <w:tblPr>
                                <w:tblStyle w:val="TableGrid"/>
                                <w:tblW w:w="0" w:type="auto"/>
                                <w:tblLook w:val="04A0" w:firstRow="1" w:lastRow="0" w:firstColumn="1" w:lastColumn="0" w:noHBand="0" w:noVBand="1"/>
                              </w:tblPr>
                              <w:tblGrid>
                                <w:gridCol w:w="3055"/>
                                <w:gridCol w:w="1401"/>
                                <w:gridCol w:w="1390"/>
                              </w:tblGrid>
                              <w:tr w:rsidR="009925C1" w:rsidRPr="00CB687E" w14:paraId="1DA048D3" w14:textId="77777777" w:rsidTr="00F30540">
                                <w:tc>
                                  <w:tcPr>
                                    <w:tcW w:w="3055" w:type="dxa"/>
                                    <w:tcBorders>
                                      <w:bottom w:val="single" w:sz="48" w:space="0" w:color="auto"/>
                                    </w:tcBorders>
                                    <w:shd w:val="clear" w:color="auto" w:fill="E8E8E8" w:themeFill="background2"/>
                                    <w:vAlign w:val="center"/>
                                  </w:tcPr>
                                  <w:p w14:paraId="1B08F168" w14:textId="77777777" w:rsidR="009925C1" w:rsidRPr="00D23258" w:rsidRDefault="009925C1" w:rsidP="00D23258">
                                    <w:pPr>
                                      <w:rPr>
                                        <w:rFonts w:ascii="Arial" w:hAnsi="Arial" w:cs="Arial"/>
                                        <w:b/>
                                      </w:rPr>
                                    </w:pPr>
                                    <w:r w:rsidRPr="00D23258">
                                      <w:rPr>
                                        <w:b/>
                                      </w:rPr>
                                      <w:t>Disability Related Sub-Grounds</w:t>
                                    </w:r>
                                    <w:r>
                                      <w:rPr>
                                        <w:b/>
                                      </w:rPr>
                                      <w:t xml:space="preserve"> </w:t>
                                    </w:r>
                                    <w:r w:rsidRPr="00CB687E">
                                      <w:rPr>
                                        <w:b/>
                                      </w:rPr>
                                      <w:t>Per 1,000 Inquiries – 2024</w:t>
                                    </w:r>
                                    <w:r w:rsidRPr="00910598">
                                      <w:rPr>
                                        <w:b/>
                                      </w:rPr>
                                      <w:t>–</w:t>
                                    </w:r>
                                    <w:r>
                                      <w:rPr>
                                        <w:b/>
                                      </w:rPr>
                                      <w:t>20</w:t>
                                    </w:r>
                                    <w:r w:rsidRPr="00CB687E">
                                      <w:rPr>
                                        <w:b/>
                                      </w:rPr>
                                      <w:t>25</w:t>
                                    </w:r>
                                  </w:p>
                                </w:tc>
                                <w:tc>
                                  <w:tcPr>
                                    <w:tcW w:w="1401" w:type="dxa"/>
                                    <w:tcBorders>
                                      <w:bottom w:val="single" w:sz="48" w:space="0" w:color="auto"/>
                                    </w:tcBorders>
                                    <w:shd w:val="clear" w:color="auto" w:fill="E8E8E8" w:themeFill="background2"/>
                                    <w:vAlign w:val="center"/>
                                  </w:tcPr>
                                  <w:p w14:paraId="4121DBA7" w14:textId="77777777" w:rsidR="009925C1" w:rsidRPr="00E77DE9" w:rsidRDefault="009925C1" w:rsidP="00D23258">
                                    <w:pPr>
                                      <w:rPr>
                                        <w:rFonts w:cs="Tahoma"/>
                                        <w:b/>
                                      </w:rPr>
                                    </w:pPr>
                                    <w:r w:rsidRPr="00E77DE9">
                                      <w:rPr>
                                        <w:rFonts w:cs="Tahoma"/>
                                        <w:b/>
                                      </w:rPr>
                                      <w:t># of reports noted in inquires</w:t>
                                    </w:r>
                                  </w:p>
                                </w:tc>
                                <w:tc>
                                  <w:tcPr>
                                    <w:tcW w:w="1390" w:type="dxa"/>
                                    <w:tcBorders>
                                      <w:bottom w:val="single" w:sz="48" w:space="0" w:color="auto"/>
                                    </w:tcBorders>
                                    <w:shd w:val="clear" w:color="auto" w:fill="E8E8E8" w:themeFill="background2"/>
                                    <w:vAlign w:val="center"/>
                                  </w:tcPr>
                                  <w:p w14:paraId="4AF46A56" w14:textId="1A760744" w:rsidR="009925C1" w:rsidRPr="00E77DE9" w:rsidRDefault="009925C1" w:rsidP="00D23258">
                                    <w:pPr>
                                      <w:rPr>
                                        <w:rFonts w:cs="Tahoma"/>
                                        <w:b/>
                                      </w:rPr>
                                    </w:pPr>
                                    <w:r w:rsidRPr="00E77DE9">
                                      <w:rPr>
                                        <w:rFonts w:cs="Tahoma"/>
                                        <w:b/>
                                      </w:rPr>
                                      <w:t>% of intakes citing sub-ground*</w:t>
                                    </w:r>
                                    <w:r w:rsidR="00F30540">
                                      <w:rPr>
                                        <w:rFonts w:cs="Tahoma"/>
                                        <w:b/>
                                      </w:rPr>
                                      <w:t>*</w:t>
                                    </w:r>
                                  </w:p>
                                </w:tc>
                              </w:tr>
                              <w:tr w:rsidR="009925C1" w:rsidRPr="00CB687E" w14:paraId="0C569FD1" w14:textId="77777777" w:rsidTr="00F30540">
                                <w:tc>
                                  <w:tcPr>
                                    <w:tcW w:w="3055" w:type="dxa"/>
                                    <w:tcBorders>
                                      <w:top w:val="single" w:sz="48" w:space="0" w:color="auto"/>
                                      <w:right w:val="single" w:sz="24" w:space="0" w:color="auto"/>
                                    </w:tcBorders>
                                    <w:vAlign w:val="center"/>
                                  </w:tcPr>
                                  <w:p w14:paraId="2916897D" w14:textId="77777777" w:rsidR="009925C1" w:rsidRPr="00FB7D91" w:rsidRDefault="009925C1" w:rsidP="00D23258">
                                    <w:pPr>
                                      <w:rPr>
                                        <w:rFonts w:cs="Tahoma"/>
                                      </w:rPr>
                                    </w:pPr>
                                    <w:r w:rsidRPr="00FB7D91">
                                      <w:rPr>
                                        <w:rFonts w:cs="Tahoma"/>
                                      </w:rPr>
                                      <w:t>Disability or Perceived Disability - Physical</w:t>
                                    </w:r>
                                  </w:p>
                                </w:tc>
                                <w:tc>
                                  <w:tcPr>
                                    <w:tcW w:w="1401" w:type="dxa"/>
                                    <w:tcBorders>
                                      <w:top w:val="single" w:sz="48" w:space="0" w:color="auto"/>
                                      <w:left w:val="single" w:sz="24" w:space="0" w:color="auto"/>
                                    </w:tcBorders>
                                    <w:vAlign w:val="center"/>
                                  </w:tcPr>
                                  <w:p w14:paraId="60A55B26" w14:textId="77777777" w:rsidR="009925C1" w:rsidRPr="00FB7D91" w:rsidRDefault="009925C1" w:rsidP="00D23258">
                                    <w:pPr>
                                      <w:rPr>
                                        <w:rFonts w:cs="Tahoma"/>
                                      </w:rPr>
                                    </w:pPr>
                                    <w:r w:rsidRPr="00FB7D91">
                                      <w:rPr>
                                        <w:rFonts w:cs="Tahoma"/>
                                      </w:rPr>
                                      <w:t>8048</w:t>
                                    </w:r>
                                  </w:p>
                                </w:tc>
                                <w:tc>
                                  <w:tcPr>
                                    <w:tcW w:w="1390" w:type="dxa"/>
                                    <w:tcBorders>
                                      <w:top w:val="single" w:sz="48" w:space="0" w:color="auto"/>
                                    </w:tcBorders>
                                    <w:vAlign w:val="center"/>
                                  </w:tcPr>
                                  <w:p w14:paraId="42A6995F" w14:textId="77777777" w:rsidR="009925C1" w:rsidRPr="00FB7D91" w:rsidRDefault="009925C1" w:rsidP="00D23258">
                                    <w:pPr>
                                      <w:rPr>
                                        <w:rFonts w:cs="Tahoma"/>
                                      </w:rPr>
                                    </w:pPr>
                                    <w:r w:rsidRPr="00FB7D91">
                                      <w:rPr>
                                        <w:rFonts w:cs="Tahoma"/>
                                      </w:rPr>
                                      <w:t>33%</w:t>
                                    </w:r>
                                  </w:p>
                                </w:tc>
                              </w:tr>
                              <w:tr w:rsidR="009925C1" w:rsidRPr="00CB687E" w14:paraId="1D88BA39" w14:textId="77777777" w:rsidTr="00F30540">
                                <w:tc>
                                  <w:tcPr>
                                    <w:tcW w:w="3055" w:type="dxa"/>
                                    <w:tcBorders>
                                      <w:right w:val="single" w:sz="24" w:space="0" w:color="auto"/>
                                    </w:tcBorders>
                                    <w:vAlign w:val="center"/>
                                  </w:tcPr>
                                  <w:p w14:paraId="723DC148" w14:textId="77777777" w:rsidR="009925C1" w:rsidRPr="00FB7D91" w:rsidRDefault="009925C1" w:rsidP="00D23258">
                                    <w:pPr>
                                      <w:rPr>
                                        <w:rFonts w:cs="Tahoma"/>
                                      </w:rPr>
                                    </w:pPr>
                                    <w:r w:rsidRPr="00FB7D91">
                                      <w:rPr>
                                        <w:rFonts w:cs="Tahoma"/>
                                      </w:rPr>
                                      <w:t>Disability or Perceived Disability - Mental/Emotional</w:t>
                                    </w:r>
                                  </w:p>
                                </w:tc>
                                <w:tc>
                                  <w:tcPr>
                                    <w:tcW w:w="1401" w:type="dxa"/>
                                    <w:tcBorders>
                                      <w:left w:val="single" w:sz="24" w:space="0" w:color="auto"/>
                                    </w:tcBorders>
                                    <w:vAlign w:val="center"/>
                                  </w:tcPr>
                                  <w:p w14:paraId="462CD560" w14:textId="77777777" w:rsidR="009925C1" w:rsidRPr="00FB7D91" w:rsidRDefault="009925C1" w:rsidP="00D23258">
                                    <w:pPr>
                                      <w:rPr>
                                        <w:rFonts w:cs="Tahoma"/>
                                      </w:rPr>
                                    </w:pPr>
                                    <w:r w:rsidRPr="00FB7D91">
                                      <w:rPr>
                                        <w:rFonts w:cs="Tahoma"/>
                                      </w:rPr>
                                      <w:t>5922</w:t>
                                    </w:r>
                                  </w:p>
                                </w:tc>
                                <w:tc>
                                  <w:tcPr>
                                    <w:tcW w:w="1390" w:type="dxa"/>
                                    <w:vAlign w:val="center"/>
                                  </w:tcPr>
                                  <w:p w14:paraId="4102A535" w14:textId="77777777" w:rsidR="009925C1" w:rsidRPr="00FB7D91" w:rsidRDefault="009925C1" w:rsidP="00D23258">
                                    <w:pPr>
                                      <w:rPr>
                                        <w:rFonts w:cs="Tahoma"/>
                                      </w:rPr>
                                    </w:pPr>
                                    <w:r w:rsidRPr="00FB7D91">
                                      <w:rPr>
                                        <w:rFonts w:cs="Tahoma"/>
                                      </w:rPr>
                                      <w:t>24%</w:t>
                                    </w:r>
                                  </w:p>
                                </w:tc>
                              </w:tr>
                              <w:tr w:rsidR="009925C1" w:rsidRPr="00CB687E" w14:paraId="69EE7E11" w14:textId="77777777" w:rsidTr="00F30540">
                                <w:tc>
                                  <w:tcPr>
                                    <w:tcW w:w="3055" w:type="dxa"/>
                                    <w:tcBorders>
                                      <w:right w:val="single" w:sz="24" w:space="0" w:color="auto"/>
                                    </w:tcBorders>
                                    <w:vAlign w:val="center"/>
                                  </w:tcPr>
                                  <w:p w14:paraId="215CD9A0" w14:textId="77777777" w:rsidR="009925C1" w:rsidRPr="00FB7D91" w:rsidRDefault="009925C1" w:rsidP="00D23258">
                                    <w:pPr>
                                      <w:rPr>
                                        <w:rFonts w:cs="Tahoma"/>
                                      </w:rPr>
                                    </w:pPr>
                                    <w:r w:rsidRPr="00FB7D91">
                                      <w:rPr>
                                        <w:rFonts w:cs="Tahoma"/>
                                      </w:rPr>
                                      <w:t>Disability or Perceived Disability - Intellectual/Developmental</w:t>
                                    </w:r>
                                  </w:p>
                                </w:tc>
                                <w:tc>
                                  <w:tcPr>
                                    <w:tcW w:w="1401" w:type="dxa"/>
                                    <w:tcBorders>
                                      <w:left w:val="single" w:sz="24" w:space="0" w:color="auto"/>
                                    </w:tcBorders>
                                    <w:vAlign w:val="center"/>
                                  </w:tcPr>
                                  <w:p w14:paraId="02159C75" w14:textId="77777777" w:rsidR="009925C1" w:rsidRPr="00FB7D91" w:rsidRDefault="009925C1" w:rsidP="00D23258">
                                    <w:pPr>
                                      <w:rPr>
                                        <w:rFonts w:cs="Tahoma"/>
                                      </w:rPr>
                                    </w:pPr>
                                    <w:r w:rsidRPr="00FB7D91">
                                      <w:rPr>
                                        <w:rFonts w:cs="Tahoma"/>
                                      </w:rPr>
                                      <w:t>1713</w:t>
                                    </w:r>
                                  </w:p>
                                </w:tc>
                                <w:tc>
                                  <w:tcPr>
                                    <w:tcW w:w="1390" w:type="dxa"/>
                                    <w:vAlign w:val="center"/>
                                  </w:tcPr>
                                  <w:p w14:paraId="121FD301" w14:textId="77777777" w:rsidR="009925C1" w:rsidRPr="00FB7D91" w:rsidRDefault="009925C1" w:rsidP="00D23258">
                                    <w:pPr>
                                      <w:rPr>
                                        <w:rFonts w:cs="Tahoma"/>
                                      </w:rPr>
                                    </w:pPr>
                                    <w:r w:rsidRPr="00FB7D91">
                                      <w:rPr>
                                        <w:rFonts w:cs="Tahoma"/>
                                      </w:rPr>
                                      <w:t>7%</w:t>
                                    </w:r>
                                  </w:p>
                                </w:tc>
                              </w:tr>
                            </w:tbl>
                            <w:p w14:paraId="461C1CCE" w14:textId="2ECB7A71" w:rsidR="009925C1" w:rsidRPr="00D23258" w:rsidRDefault="00F30540" w:rsidP="00D4439A">
                              <w:r>
                                <w:rPr>
                                  <w:rFonts w:cs="Tahoma"/>
                                </w:rPr>
                                <w:t>**</w:t>
                              </w:r>
                              <w:r w:rsidRPr="00FB7D91">
                                <w:rPr>
                                  <w:rFonts w:cs="Tahoma"/>
                                </w:rPr>
                                <w:t>Calculated based on a total of 24,426 inquiries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719481" name="Text Box 4"/>
                        <wps:cNvSpPr txBox="1"/>
                        <wps:spPr>
                          <a:xfrm>
                            <a:off x="4800344" y="2886664"/>
                            <a:ext cx="3907609" cy="3287395"/>
                          </a:xfrm>
                          <a:prstGeom prst="rect">
                            <a:avLst/>
                          </a:prstGeom>
                          <a:solidFill>
                            <a:schemeClr val="lt1"/>
                          </a:solidFill>
                          <a:ln w="6350">
                            <a:solidFill>
                              <a:schemeClr val="bg1"/>
                            </a:solidFill>
                          </a:ln>
                        </wps:spPr>
                        <wps:txbx>
                          <w:txbxContent>
                            <w:tbl>
                              <w:tblPr>
                                <w:tblStyle w:val="TableGrid"/>
                                <w:tblW w:w="0" w:type="auto"/>
                                <w:tblLook w:val="04A0" w:firstRow="1" w:lastRow="0" w:firstColumn="1" w:lastColumn="0" w:noHBand="0" w:noVBand="1"/>
                              </w:tblPr>
                              <w:tblGrid>
                                <w:gridCol w:w="2233"/>
                                <w:gridCol w:w="1811"/>
                                <w:gridCol w:w="1801"/>
                              </w:tblGrid>
                              <w:tr w:rsidR="009925C1" w:rsidRPr="00CB687E" w14:paraId="494EB0E1" w14:textId="77777777" w:rsidTr="00A57F14">
                                <w:tc>
                                  <w:tcPr>
                                    <w:tcW w:w="2233" w:type="dxa"/>
                                    <w:tcBorders>
                                      <w:bottom w:val="single" w:sz="48" w:space="0" w:color="auto"/>
                                    </w:tcBorders>
                                    <w:shd w:val="clear" w:color="auto" w:fill="E8E8E8" w:themeFill="background2"/>
                                    <w:vAlign w:val="center"/>
                                  </w:tcPr>
                                  <w:p w14:paraId="3F89ECC4" w14:textId="77777777" w:rsidR="009925C1" w:rsidRPr="00385384" w:rsidRDefault="009925C1" w:rsidP="00D23258">
                                    <w:pPr>
                                      <w:rPr>
                                        <w:rFonts w:cs="Tahoma"/>
                                        <w:b/>
                                        <w:bCs/>
                                      </w:rPr>
                                    </w:pPr>
                                    <w:r w:rsidRPr="00385384">
                                      <w:rPr>
                                        <w:rFonts w:cs="Tahoma"/>
                                        <w:b/>
                                        <w:bCs/>
                                      </w:rPr>
                                      <w:t>Race-Related Sub-Grounds Per 1,000 Inquiries – 2024–2025</w:t>
                                    </w:r>
                                  </w:p>
                                </w:tc>
                                <w:tc>
                                  <w:tcPr>
                                    <w:tcW w:w="1811" w:type="dxa"/>
                                    <w:tcBorders>
                                      <w:bottom w:val="single" w:sz="48" w:space="0" w:color="auto"/>
                                    </w:tcBorders>
                                    <w:shd w:val="clear" w:color="auto" w:fill="E8E8E8" w:themeFill="background2"/>
                                    <w:vAlign w:val="center"/>
                                  </w:tcPr>
                                  <w:p w14:paraId="294D048E" w14:textId="77777777" w:rsidR="009925C1" w:rsidRPr="00385384" w:rsidRDefault="009925C1" w:rsidP="00D23258">
                                    <w:pPr>
                                      <w:rPr>
                                        <w:rFonts w:cs="Tahoma"/>
                                        <w:b/>
                                        <w:bCs/>
                                      </w:rPr>
                                    </w:pPr>
                                    <w:r w:rsidRPr="00385384">
                                      <w:rPr>
                                        <w:rFonts w:cs="Tahoma"/>
                                        <w:b/>
                                        <w:bCs/>
                                      </w:rPr>
                                      <w:t># of reports noted in inquires</w:t>
                                    </w:r>
                                  </w:p>
                                </w:tc>
                                <w:tc>
                                  <w:tcPr>
                                    <w:tcW w:w="1801" w:type="dxa"/>
                                    <w:tcBorders>
                                      <w:bottom w:val="single" w:sz="48" w:space="0" w:color="auto"/>
                                    </w:tcBorders>
                                    <w:shd w:val="clear" w:color="auto" w:fill="E8E8E8" w:themeFill="background2"/>
                                    <w:vAlign w:val="center"/>
                                  </w:tcPr>
                                  <w:p w14:paraId="0AB47DE7" w14:textId="7E04277F" w:rsidR="009925C1" w:rsidRPr="00385384" w:rsidRDefault="009925C1" w:rsidP="00D23258">
                                    <w:pPr>
                                      <w:rPr>
                                        <w:rFonts w:cs="Tahoma"/>
                                        <w:b/>
                                        <w:bCs/>
                                      </w:rPr>
                                    </w:pPr>
                                    <w:r w:rsidRPr="00385384">
                                      <w:rPr>
                                        <w:rFonts w:cs="Tahoma"/>
                                        <w:b/>
                                        <w:bCs/>
                                      </w:rPr>
                                      <w:t>% of intakes citing sub-ground*</w:t>
                                    </w:r>
                                    <w:r w:rsidR="00F30540">
                                      <w:rPr>
                                        <w:rFonts w:cs="Tahoma"/>
                                        <w:b/>
                                        <w:bCs/>
                                      </w:rPr>
                                      <w:t>*</w:t>
                                    </w:r>
                                    <w:r w:rsidR="00F30540">
                                      <w:rPr>
                                        <w:b/>
                                        <w:bCs/>
                                      </w:rPr>
                                      <w:t>*</w:t>
                                    </w:r>
                                  </w:p>
                                </w:tc>
                              </w:tr>
                              <w:tr w:rsidR="009925C1" w:rsidRPr="00CB687E" w14:paraId="53F40608" w14:textId="77777777" w:rsidTr="00A57F14">
                                <w:tc>
                                  <w:tcPr>
                                    <w:tcW w:w="2233" w:type="dxa"/>
                                    <w:tcBorders>
                                      <w:top w:val="single" w:sz="48" w:space="0" w:color="auto"/>
                                      <w:right w:val="single" w:sz="24" w:space="0" w:color="auto"/>
                                    </w:tcBorders>
                                    <w:vAlign w:val="center"/>
                                  </w:tcPr>
                                  <w:p w14:paraId="6AE476C9" w14:textId="77777777" w:rsidR="009925C1" w:rsidRPr="00385384" w:rsidRDefault="009925C1" w:rsidP="00D23258">
                                    <w:pPr>
                                      <w:rPr>
                                        <w:rFonts w:cs="Tahoma"/>
                                      </w:rPr>
                                    </w:pPr>
                                    <w:r w:rsidRPr="00385384">
                                      <w:rPr>
                                        <w:rFonts w:cs="Tahoma"/>
                                      </w:rPr>
                                      <w:t>Anti-Black Racism</w:t>
                                    </w:r>
                                  </w:p>
                                </w:tc>
                                <w:tc>
                                  <w:tcPr>
                                    <w:tcW w:w="1811" w:type="dxa"/>
                                    <w:tcBorders>
                                      <w:top w:val="single" w:sz="48" w:space="0" w:color="auto"/>
                                      <w:left w:val="single" w:sz="24" w:space="0" w:color="auto"/>
                                    </w:tcBorders>
                                    <w:vAlign w:val="center"/>
                                  </w:tcPr>
                                  <w:p w14:paraId="59ADEF0F" w14:textId="77777777" w:rsidR="009925C1" w:rsidRPr="00385384" w:rsidRDefault="009925C1" w:rsidP="00D23258">
                                    <w:pPr>
                                      <w:rPr>
                                        <w:rFonts w:cs="Tahoma"/>
                                      </w:rPr>
                                    </w:pPr>
                                    <w:r w:rsidRPr="00385384">
                                      <w:rPr>
                                        <w:rFonts w:cs="Tahoma"/>
                                      </w:rPr>
                                      <w:t>1463</w:t>
                                    </w:r>
                                  </w:p>
                                </w:tc>
                                <w:tc>
                                  <w:tcPr>
                                    <w:tcW w:w="1801" w:type="dxa"/>
                                    <w:tcBorders>
                                      <w:top w:val="single" w:sz="48" w:space="0" w:color="auto"/>
                                    </w:tcBorders>
                                    <w:vAlign w:val="center"/>
                                  </w:tcPr>
                                  <w:p w14:paraId="00B8FDFA" w14:textId="77777777" w:rsidR="009925C1" w:rsidRPr="00385384" w:rsidRDefault="009925C1" w:rsidP="00D23258">
                                    <w:pPr>
                                      <w:rPr>
                                        <w:rFonts w:cs="Tahoma"/>
                                      </w:rPr>
                                    </w:pPr>
                                    <w:r w:rsidRPr="00385384">
                                      <w:rPr>
                                        <w:rFonts w:cs="Tahoma"/>
                                      </w:rPr>
                                      <w:t>6%</w:t>
                                    </w:r>
                                  </w:p>
                                </w:tc>
                              </w:tr>
                              <w:tr w:rsidR="009925C1" w:rsidRPr="00CB687E" w14:paraId="60BC04B4" w14:textId="77777777" w:rsidTr="00A57F14">
                                <w:tc>
                                  <w:tcPr>
                                    <w:tcW w:w="2233" w:type="dxa"/>
                                    <w:tcBorders>
                                      <w:right w:val="single" w:sz="24" w:space="0" w:color="auto"/>
                                    </w:tcBorders>
                                    <w:vAlign w:val="center"/>
                                  </w:tcPr>
                                  <w:p w14:paraId="5398532C" w14:textId="7E68EDC1" w:rsidR="009925C1" w:rsidRPr="00385384" w:rsidRDefault="009925C1" w:rsidP="00D23258">
                                    <w:pPr>
                                      <w:rPr>
                                        <w:rFonts w:cs="Tahoma"/>
                                      </w:rPr>
                                    </w:pPr>
                                    <w:r w:rsidRPr="00385384">
                                      <w:rPr>
                                        <w:rFonts w:cs="Tahoma"/>
                                      </w:rPr>
                                      <w:t>Anti-Muslim Discrimination</w:t>
                                    </w:r>
                                    <w:r w:rsidR="00F30540">
                                      <w:rPr>
                                        <w:rFonts w:cs="Tahoma"/>
                                      </w:rPr>
                                      <w:t>*</w:t>
                                    </w:r>
                                    <w:r w:rsidR="00F30540">
                                      <w:t>**</w:t>
                                    </w:r>
                                  </w:p>
                                </w:tc>
                                <w:tc>
                                  <w:tcPr>
                                    <w:tcW w:w="1811" w:type="dxa"/>
                                    <w:tcBorders>
                                      <w:left w:val="single" w:sz="24" w:space="0" w:color="auto"/>
                                    </w:tcBorders>
                                    <w:vAlign w:val="center"/>
                                  </w:tcPr>
                                  <w:p w14:paraId="15BBA45E" w14:textId="77777777" w:rsidR="009925C1" w:rsidRPr="00385384" w:rsidRDefault="009925C1" w:rsidP="00D23258">
                                    <w:pPr>
                                      <w:rPr>
                                        <w:rFonts w:cs="Tahoma"/>
                                      </w:rPr>
                                    </w:pPr>
                                    <w:r w:rsidRPr="00385384">
                                      <w:rPr>
                                        <w:rFonts w:cs="Tahoma"/>
                                      </w:rPr>
                                      <w:t>297</w:t>
                                    </w:r>
                                  </w:p>
                                </w:tc>
                                <w:tc>
                                  <w:tcPr>
                                    <w:tcW w:w="1801" w:type="dxa"/>
                                    <w:vAlign w:val="center"/>
                                  </w:tcPr>
                                  <w:p w14:paraId="5A9D5468" w14:textId="77777777" w:rsidR="009925C1" w:rsidRPr="00385384" w:rsidRDefault="009925C1" w:rsidP="00D23258">
                                    <w:pPr>
                                      <w:rPr>
                                        <w:rFonts w:cs="Tahoma"/>
                                      </w:rPr>
                                    </w:pPr>
                                    <w:r w:rsidRPr="00385384">
                                      <w:rPr>
                                        <w:rFonts w:cs="Tahoma"/>
                                      </w:rPr>
                                      <w:t>1.2%</w:t>
                                    </w:r>
                                  </w:p>
                                </w:tc>
                              </w:tr>
                              <w:tr w:rsidR="009925C1" w:rsidRPr="00CB687E" w14:paraId="4B6AFCA3" w14:textId="77777777" w:rsidTr="00A57F14">
                                <w:tc>
                                  <w:tcPr>
                                    <w:tcW w:w="2233" w:type="dxa"/>
                                    <w:tcBorders>
                                      <w:right w:val="single" w:sz="24" w:space="0" w:color="auto"/>
                                    </w:tcBorders>
                                    <w:vAlign w:val="center"/>
                                  </w:tcPr>
                                  <w:p w14:paraId="280D4EF3" w14:textId="77777777" w:rsidR="009925C1" w:rsidRPr="00385384" w:rsidRDefault="009925C1" w:rsidP="00D23258">
                                    <w:pPr>
                                      <w:rPr>
                                        <w:rFonts w:cs="Tahoma"/>
                                      </w:rPr>
                                    </w:pPr>
                                    <w:r w:rsidRPr="00385384">
                                      <w:rPr>
                                        <w:rFonts w:cs="Tahoma"/>
                                      </w:rPr>
                                      <w:t>Anti-Indigenous Discrimination</w:t>
                                    </w:r>
                                  </w:p>
                                </w:tc>
                                <w:tc>
                                  <w:tcPr>
                                    <w:tcW w:w="1811" w:type="dxa"/>
                                    <w:tcBorders>
                                      <w:left w:val="single" w:sz="24" w:space="0" w:color="auto"/>
                                    </w:tcBorders>
                                    <w:vAlign w:val="center"/>
                                  </w:tcPr>
                                  <w:p w14:paraId="219A86C9" w14:textId="77777777" w:rsidR="009925C1" w:rsidRPr="00385384" w:rsidRDefault="009925C1" w:rsidP="00D23258">
                                    <w:pPr>
                                      <w:rPr>
                                        <w:rFonts w:cs="Tahoma"/>
                                      </w:rPr>
                                    </w:pPr>
                                    <w:r w:rsidRPr="00385384">
                                      <w:rPr>
                                        <w:rFonts w:cs="Tahoma"/>
                                      </w:rPr>
                                      <w:t>280</w:t>
                                    </w:r>
                                  </w:p>
                                </w:tc>
                                <w:tc>
                                  <w:tcPr>
                                    <w:tcW w:w="1801" w:type="dxa"/>
                                    <w:vAlign w:val="center"/>
                                  </w:tcPr>
                                  <w:p w14:paraId="4031A3F0" w14:textId="77777777" w:rsidR="009925C1" w:rsidRPr="00385384" w:rsidRDefault="009925C1" w:rsidP="00D23258">
                                    <w:pPr>
                                      <w:rPr>
                                        <w:rFonts w:cs="Tahoma"/>
                                      </w:rPr>
                                    </w:pPr>
                                    <w:r w:rsidRPr="00385384">
                                      <w:rPr>
                                        <w:rFonts w:cs="Tahoma"/>
                                      </w:rPr>
                                      <w:t>1.1%</w:t>
                                    </w:r>
                                  </w:p>
                                </w:tc>
                              </w:tr>
                              <w:tr w:rsidR="009925C1" w:rsidRPr="00CB687E" w14:paraId="7FD0CD52" w14:textId="77777777" w:rsidTr="00A57F14">
                                <w:tc>
                                  <w:tcPr>
                                    <w:tcW w:w="2233" w:type="dxa"/>
                                    <w:tcBorders>
                                      <w:right w:val="single" w:sz="24" w:space="0" w:color="auto"/>
                                    </w:tcBorders>
                                    <w:vAlign w:val="center"/>
                                  </w:tcPr>
                                  <w:p w14:paraId="626AD9DF" w14:textId="77777777" w:rsidR="009925C1" w:rsidRPr="00385384" w:rsidRDefault="009925C1" w:rsidP="00D23258">
                                    <w:pPr>
                                      <w:rPr>
                                        <w:rFonts w:cs="Tahoma"/>
                                      </w:rPr>
                                    </w:pPr>
                                    <w:r w:rsidRPr="00385384">
                                      <w:rPr>
                                        <w:rFonts w:cs="Tahoma"/>
                                      </w:rPr>
                                      <w:t>Anti-South Asian Racism</w:t>
                                    </w:r>
                                  </w:p>
                                </w:tc>
                                <w:tc>
                                  <w:tcPr>
                                    <w:tcW w:w="1811" w:type="dxa"/>
                                    <w:tcBorders>
                                      <w:left w:val="single" w:sz="24" w:space="0" w:color="auto"/>
                                    </w:tcBorders>
                                    <w:vAlign w:val="center"/>
                                  </w:tcPr>
                                  <w:p w14:paraId="383525FD" w14:textId="77777777" w:rsidR="009925C1" w:rsidRPr="00385384" w:rsidRDefault="009925C1" w:rsidP="00D23258">
                                    <w:pPr>
                                      <w:rPr>
                                        <w:rFonts w:cs="Tahoma"/>
                                      </w:rPr>
                                    </w:pPr>
                                    <w:r w:rsidRPr="00385384">
                                      <w:rPr>
                                        <w:rFonts w:cs="Tahoma"/>
                                      </w:rPr>
                                      <w:t>187</w:t>
                                    </w:r>
                                  </w:p>
                                </w:tc>
                                <w:tc>
                                  <w:tcPr>
                                    <w:tcW w:w="1801" w:type="dxa"/>
                                    <w:vAlign w:val="center"/>
                                  </w:tcPr>
                                  <w:p w14:paraId="69FF3CEA" w14:textId="77777777" w:rsidR="009925C1" w:rsidRPr="00385384" w:rsidRDefault="009925C1" w:rsidP="00D23258">
                                    <w:pPr>
                                      <w:rPr>
                                        <w:rFonts w:cs="Tahoma"/>
                                      </w:rPr>
                                    </w:pPr>
                                    <w:r w:rsidRPr="00385384">
                                      <w:rPr>
                                        <w:rFonts w:cs="Tahoma"/>
                                      </w:rPr>
                                      <w:t>0.8%</w:t>
                                    </w:r>
                                  </w:p>
                                </w:tc>
                              </w:tr>
                              <w:tr w:rsidR="009925C1" w:rsidRPr="00CB687E" w14:paraId="33F41B57" w14:textId="77777777" w:rsidTr="00A57F14">
                                <w:tc>
                                  <w:tcPr>
                                    <w:tcW w:w="2233" w:type="dxa"/>
                                    <w:tcBorders>
                                      <w:right w:val="single" w:sz="24" w:space="0" w:color="auto"/>
                                    </w:tcBorders>
                                    <w:vAlign w:val="center"/>
                                  </w:tcPr>
                                  <w:p w14:paraId="0861CDB6" w14:textId="14008E5E" w:rsidR="009925C1" w:rsidRPr="00385384" w:rsidRDefault="009925C1" w:rsidP="00D23258">
                                    <w:pPr>
                                      <w:rPr>
                                        <w:rFonts w:cs="Tahoma"/>
                                      </w:rPr>
                                    </w:pPr>
                                    <w:r w:rsidRPr="00385384">
                                      <w:rPr>
                                        <w:rFonts w:cs="Tahoma"/>
                                      </w:rPr>
                                      <w:t>Antisemitism</w:t>
                                    </w:r>
                                    <w:r w:rsidR="00F30540">
                                      <w:rPr>
                                        <w:rFonts w:cs="Tahoma"/>
                                      </w:rPr>
                                      <w:t>**</w:t>
                                    </w:r>
                                    <w:r w:rsidRPr="00F30540">
                                      <w:rPr>
                                        <w:rStyle w:val="FootnoteReference"/>
                                        <w:rFonts w:cs="Tahoma"/>
                                        <w:vertAlign w:val="baseline"/>
                                      </w:rPr>
                                      <w:t>*</w:t>
                                    </w:r>
                                  </w:p>
                                </w:tc>
                                <w:tc>
                                  <w:tcPr>
                                    <w:tcW w:w="1811" w:type="dxa"/>
                                    <w:tcBorders>
                                      <w:left w:val="single" w:sz="24" w:space="0" w:color="auto"/>
                                    </w:tcBorders>
                                    <w:vAlign w:val="center"/>
                                  </w:tcPr>
                                  <w:p w14:paraId="2B1D699A" w14:textId="77777777" w:rsidR="009925C1" w:rsidRPr="00385384" w:rsidRDefault="009925C1" w:rsidP="00D23258">
                                    <w:pPr>
                                      <w:rPr>
                                        <w:rFonts w:cs="Tahoma"/>
                                      </w:rPr>
                                    </w:pPr>
                                    <w:r w:rsidRPr="00385384">
                                      <w:rPr>
                                        <w:rFonts w:cs="Tahoma"/>
                                      </w:rPr>
                                      <w:t>87</w:t>
                                    </w:r>
                                  </w:p>
                                </w:tc>
                                <w:tc>
                                  <w:tcPr>
                                    <w:tcW w:w="1801" w:type="dxa"/>
                                    <w:vAlign w:val="center"/>
                                  </w:tcPr>
                                  <w:p w14:paraId="22691269" w14:textId="77777777" w:rsidR="009925C1" w:rsidRPr="00385384" w:rsidRDefault="009925C1" w:rsidP="00D23258">
                                    <w:pPr>
                                      <w:rPr>
                                        <w:rFonts w:cs="Tahoma"/>
                                      </w:rPr>
                                    </w:pPr>
                                    <w:r w:rsidRPr="00385384">
                                      <w:rPr>
                                        <w:rFonts w:cs="Tahoma"/>
                                      </w:rPr>
                                      <w:t>0.4%</w:t>
                                    </w:r>
                                  </w:p>
                                </w:tc>
                              </w:tr>
                              <w:tr w:rsidR="009925C1" w:rsidRPr="00CB687E" w14:paraId="460CA6B4" w14:textId="77777777" w:rsidTr="00A57F14">
                                <w:tc>
                                  <w:tcPr>
                                    <w:tcW w:w="2233" w:type="dxa"/>
                                    <w:tcBorders>
                                      <w:right w:val="single" w:sz="24" w:space="0" w:color="auto"/>
                                    </w:tcBorders>
                                    <w:vAlign w:val="center"/>
                                  </w:tcPr>
                                  <w:p w14:paraId="36C9A03D" w14:textId="77777777" w:rsidR="009925C1" w:rsidRPr="00385384" w:rsidRDefault="009925C1" w:rsidP="00D23258">
                                    <w:pPr>
                                      <w:rPr>
                                        <w:rFonts w:cs="Tahoma"/>
                                      </w:rPr>
                                    </w:pPr>
                                    <w:r w:rsidRPr="00385384">
                                      <w:rPr>
                                        <w:rFonts w:cs="Tahoma"/>
                                      </w:rPr>
                                      <w:t>Anti-East Asian Racism</w:t>
                                    </w:r>
                                  </w:p>
                                </w:tc>
                                <w:tc>
                                  <w:tcPr>
                                    <w:tcW w:w="1811" w:type="dxa"/>
                                    <w:tcBorders>
                                      <w:left w:val="single" w:sz="24" w:space="0" w:color="auto"/>
                                    </w:tcBorders>
                                    <w:vAlign w:val="center"/>
                                  </w:tcPr>
                                  <w:p w14:paraId="70151082" w14:textId="77777777" w:rsidR="009925C1" w:rsidRPr="00385384" w:rsidRDefault="009925C1" w:rsidP="00D23258">
                                    <w:pPr>
                                      <w:rPr>
                                        <w:rFonts w:cs="Tahoma"/>
                                      </w:rPr>
                                    </w:pPr>
                                    <w:r w:rsidRPr="00385384">
                                      <w:rPr>
                                        <w:rFonts w:cs="Tahoma"/>
                                      </w:rPr>
                                      <w:t>64</w:t>
                                    </w:r>
                                  </w:p>
                                </w:tc>
                                <w:tc>
                                  <w:tcPr>
                                    <w:tcW w:w="1801" w:type="dxa"/>
                                    <w:vAlign w:val="center"/>
                                  </w:tcPr>
                                  <w:p w14:paraId="73274EF3" w14:textId="77777777" w:rsidR="009925C1" w:rsidRPr="00385384" w:rsidRDefault="009925C1" w:rsidP="00D23258">
                                    <w:pPr>
                                      <w:rPr>
                                        <w:rFonts w:cs="Tahoma"/>
                                      </w:rPr>
                                    </w:pPr>
                                    <w:r w:rsidRPr="00385384">
                                      <w:rPr>
                                        <w:rFonts w:cs="Tahoma"/>
                                      </w:rPr>
                                      <w:t>0.3%</w:t>
                                    </w:r>
                                  </w:p>
                                </w:tc>
                              </w:tr>
                            </w:tbl>
                            <w:p w14:paraId="09B32FE6" w14:textId="625E0ED4" w:rsidR="00F30540" w:rsidRPr="00385384" w:rsidRDefault="00F30540" w:rsidP="00F30540">
                              <w:pPr>
                                <w:rPr>
                                  <w:rFonts w:cs="Tahoma"/>
                                </w:rPr>
                              </w:pPr>
                              <w:r>
                                <w:t>***</w:t>
                              </w:r>
                              <w:r w:rsidRPr="00385384">
                                <w:rPr>
                                  <w:rFonts w:cs="Tahoma"/>
                                </w:rPr>
                                <w:t>Calculated based on a total of 24,426 inquiries</w:t>
                              </w:r>
                            </w:p>
                            <w:p w14:paraId="13E8BA4B" w14:textId="447F6BAB" w:rsidR="009925C1" w:rsidRPr="00D23258" w:rsidRDefault="009925C1" w:rsidP="009925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E23E36" id="Group 5" o:spid="_x0000_s1031" style="position:absolute;margin-left:-19.35pt;margin-top:-30.05pt;width:685.7pt;height:537.3pt;z-index:251650052;mso-position-horizontal-relative:margin;mso-position-vertical-relative:margin;mso-width-relative:margin;mso-height-relative:margin" coordsize="87079,6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">
                <v:shape id="_x0000_s1032" type="#_x0000_t202" style="position:absolute;width:47351;height:6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" strokecolor="white [3212]">
                  <v:textbox>
                    <w:txbxContent>
                      <w:tbl>
                        <w:tblPr>
                          <w:tblStyle w:val="TableGrid"/>
                          <w:tblW w:w="7225" w:type="dxa"/>
                          <w:tblLayout w:type="fixed"/>
                          <w:tblLook w:val="04A0" w:firstRow="1" w:lastRow="0" w:firstColumn="1" w:lastColumn="0" w:noHBand="0" w:noVBand="1"/>
                        </w:tblPr>
                        <w:tblGrid>
                          <w:gridCol w:w="2547"/>
                          <w:gridCol w:w="1276"/>
                          <w:gridCol w:w="1701"/>
                          <w:gridCol w:w="1701"/>
                        </w:tblGrid>
                        <w:tr w:rsidR="009925C1" w:rsidRPr="00CB687E" w14:paraId="024ABC86" w14:textId="77777777" w:rsidTr="00D23258">
                          <w:trPr>
                            <w:trHeight w:val="290"/>
                          </w:trPr>
                          <w:tc>
                            <w:tcPr>
                              <w:tcW w:w="2547" w:type="dxa"/>
                              <w:tcBorders>
                                <w:bottom w:val="single" w:sz="48" w:space="0" w:color="auto"/>
                              </w:tcBorders>
                              <w:shd w:val="clear" w:color="auto" w:fill="D9D9D9" w:themeFill="background1" w:themeFillShade="D9"/>
                              <w:vAlign w:val="center"/>
                              <w:hideMark/>
                            </w:tcPr>
                            <w:p w14:paraId="311EE6D2" w14:textId="77777777" w:rsidR="009925C1" w:rsidRPr="00385384" w:rsidRDefault="009925C1" w:rsidP="00D23258">
                              <w:pPr>
                                <w:rPr>
                                  <w:rFonts w:cs="Tahoma"/>
                                  <w:b/>
                                  <w:bCs/>
                                </w:rPr>
                              </w:pPr>
                              <w:r w:rsidRPr="00385384">
                                <w:rPr>
                                  <w:rFonts w:cs="Tahoma"/>
                                  <w:b/>
                                  <w:bCs/>
                                </w:rPr>
                                <w:t>Prohibited Grounds Noted in Intake Calls (2024–2025)</w:t>
                              </w:r>
                            </w:p>
                          </w:tc>
                          <w:tc>
                            <w:tcPr>
                              <w:tcW w:w="1276" w:type="dxa"/>
                              <w:tcBorders>
                                <w:bottom w:val="single" w:sz="48" w:space="0" w:color="auto"/>
                              </w:tcBorders>
                              <w:shd w:val="clear" w:color="auto" w:fill="D9D9D9" w:themeFill="background1" w:themeFillShade="D9"/>
                              <w:vAlign w:val="center"/>
                              <w:hideMark/>
                            </w:tcPr>
                            <w:p w14:paraId="0989D75D" w14:textId="77777777" w:rsidR="009925C1" w:rsidRPr="00385384" w:rsidRDefault="009925C1" w:rsidP="00D23258">
                              <w:pPr>
                                <w:rPr>
                                  <w:rFonts w:cs="Tahoma"/>
                                  <w:b/>
                                  <w:bCs/>
                                </w:rPr>
                              </w:pPr>
                              <w:r w:rsidRPr="00385384">
                                <w:rPr>
                                  <w:rFonts w:cs="Tahoma"/>
                                  <w:b/>
                                  <w:bCs/>
                                </w:rPr>
                                <w:t>Number</w:t>
                              </w:r>
                            </w:p>
                          </w:tc>
                          <w:tc>
                            <w:tcPr>
                              <w:tcW w:w="1701" w:type="dxa"/>
                              <w:tcBorders>
                                <w:bottom w:val="single" w:sz="48" w:space="0" w:color="auto"/>
                              </w:tcBorders>
                              <w:shd w:val="clear" w:color="auto" w:fill="D9D9D9" w:themeFill="background1" w:themeFillShade="D9"/>
                              <w:vAlign w:val="center"/>
                            </w:tcPr>
                            <w:p w14:paraId="0817D2CC" w14:textId="77777777" w:rsidR="009925C1" w:rsidRPr="00385384" w:rsidRDefault="009925C1" w:rsidP="00D23258">
                              <w:pPr>
                                <w:rPr>
                                  <w:rFonts w:cs="Tahoma"/>
                                  <w:b/>
                                  <w:bCs/>
                                </w:rPr>
                              </w:pPr>
                              <w:r w:rsidRPr="00385384">
                                <w:rPr>
                                  <w:rFonts w:cs="Tahoma"/>
                                  <w:b/>
                                  <w:bCs/>
                                </w:rPr>
                                <w:t>% of Intake Calls Citing Ground*</w:t>
                              </w:r>
                            </w:p>
                          </w:tc>
                          <w:tc>
                            <w:tcPr>
                              <w:tcW w:w="1701" w:type="dxa"/>
                              <w:tcBorders>
                                <w:bottom w:val="single" w:sz="48" w:space="0" w:color="auto"/>
                              </w:tcBorders>
                              <w:shd w:val="clear" w:color="auto" w:fill="D9D9D9" w:themeFill="background1" w:themeFillShade="D9"/>
                              <w:vAlign w:val="center"/>
                            </w:tcPr>
                            <w:p w14:paraId="14FE7E94" w14:textId="77777777" w:rsidR="009925C1" w:rsidRPr="00385384" w:rsidRDefault="009925C1" w:rsidP="00D23258">
                              <w:pPr>
                                <w:rPr>
                                  <w:rFonts w:cs="Tahoma"/>
                                  <w:b/>
                                  <w:bCs/>
                                </w:rPr>
                              </w:pPr>
                              <w:r w:rsidRPr="00385384">
                                <w:rPr>
                                  <w:rFonts w:cs="Tahoma"/>
                                  <w:b/>
                                  <w:bCs/>
                                </w:rPr>
                                <w:t>HRTO Comparison (23–24)</w:t>
                              </w:r>
                            </w:p>
                          </w:tc>
                        </w:tr>
                        <w:tr w:rsidR="009925C1" w:rsidRPr="00CB687E" w14:paraId="3B891604" w14:textId="77777777" w:rsidTr="00D23258">
                          <w:trPr>
                            <w:trHeight w:val="290"/>
                          </w:trPr>
                          <w:tc>
                            <w:tcPr>
                              <w:tcW w:w="2547" w:type="dxa"/>
                              <w:tcBorders>
                                <w:top w:val="single" w:sz="48" w:space="0" w:color="auto"/>
                                <w:right w:val="single" w:sz="24" w:space="0" w:color="auto"/>
                              </w:tcBorders>
                              <w:noWrap/>
                              <w:vAlign w:val="center"/>
                              <w:hideMark/>
                            </w:tcPr>
                            <w:p w14:paraId="082F2278" w14:textId="77777777" w:rsidR="009925C1" w:rsidRPr="00385384" w:rsidRDefault="009925C1" w:rsidP="00D23258">
                              <w:pPr>
                                <w:rPr>
                                  <w:rFonts w:cs="Tahoma"/>
                                </w:rPr>
                              </w:pPr>
                              <w:r w:rsidRPr="00385384">
                                <w:rPr>
                                  <w:rFonts w:cs="Tahoma"/>
                                </w:rPr>
                                <w:t>Disability or Perceived Disability - Physical</w:t>
                              </w:r>
                            </w:p>
                          </w:tc>
                          <w:tc>
                            <w:tcPr>
                              <w:tcW w:w="1276" w:type="dxa"/>
                              <w:tcBorders>
                                <w:top w:val="single" w:sz="48" w:space="0" w:color="auto"/>
                                <w:left w:val="single" w:sz="24" w:space="0" w:color="auto"/>
                              </w:tcBorders>
                              <w:vAlign w:val="center"/>
                              <w:hideMark/>
                            </w:tcPr>
                            <w:p w14:paraId="134A1B82" w14:textId="77777777" w:rsidR="009925C1" w:rsidRPr="00385384" w:rsidRDefault="009925C1" w:rsidP="00D23258">
                              <w:pPr>
                                <w:rPr>
                                  <w:rFonts w:cs="Tahoma"/>
                                </w:rPr>
                              </w:pPr>
                              <w:r w:rsidRPr="00385384">
                                <w:rPr>
                                  <w:rFonts w:cs="Tahoma"/>
                                </w:rPr>
                                <w:t>15683</w:t>
                              </w:r>
                            </w:p>
                          </w:tc>
                          <w:tc>
                            <w:tcPr>
                              <w:tcW w:w="1701" w:type="dxa"/>
                              <w:tcBorders>
                                <w:top w:val="single" w:sz="48" w:space="0" w:color="auto"/>
                              </w:tcBorders>
                              <w:vAlign w:val="center"/>
                            </w:tcPr>
                            <w:p w14:paraId="1D0E0065" w14:textId="77777777" w:rsidR="009925C1" w:rsidRPr="00385384" w:rsidRDefault="009925C1" w:rsidP="00D23258">
                              <w:pPr>
                                <w:rPr>
                                  <w:rFonts w:cs="Tahoma"/>
                                </w:rPr>
                              </w:pPr>
                              <w:r w:rsidRPr="00385384">
                                <w:rPr>
                                  <w:rFonts w:cs="Tahoma"/>
                                </w:rPr>
                                <w:t>64.2%</w:t>
                              </w:r>
                            </w:p>
                          </w:tc>
                          <w:tc>
                            <w:tcPr>
                              <w:tcW w:w="1701" w:type="dxa"/>
                              <w:tcBorders>
                                <w:top w:val="single" w:sz="48" w:space="0" w:color="auto"/>
                              </w:tcBorders>
                              <w:vAlign w:val="center"/>
                            </w:tcPr>
                            <w:p w14:paraId="3D31D36F" w14:textId="77777777" w:rsidR="009925C1" w:rsidRPr="00385384" w:rsidRDefault="009925C1" w:rsidP="00D23258">
                              <w:pPr>
                                <w:rPr>
                                  <w:rFonts w:cs="Tahoma"/>
                                </w:rPr>
                              </w:pPr>
                              <w:r w:rsidRPr="00385384">
                                <w:rPr>
                                  <w:rFonts w:cs="Tahoma"/>
                                </w:rPr>
                                <w:t>51%</w:t>
                              </w:r>
                            </w:p>
                          </w:tc>
                        </w:tr>
                        <w:tr w:rsidR="009925C1" w:rsidRPr="00CB687E" w14:paraId="1C451120" w14:textId="77777777" w:rsidTr="00D23258">
                          <w:trPr>
                            <w:trHeight w:val="290"/>
                          </w:trPr>
                          <w:tc>
                            <w:tcPr>
                              <w:tcW w:w="2547" w:type="dxa"/>
                              <w:tcBorders>
                                <w:right w:val="single" w:sz="24" w:space="0" w:color="auto"/>
                              </w:tcBorders>
                              <w:noWrap/>
                              <w:vAlign w:val="center"/>
                              <w:hideMark/>
                            </w:tcPr>
                            <w:p w14:paraId="151E5A98" w14:textId="77777777" w:rsidR="009925C1" w:rsidRPr="00385384" w:rsidRDefault="009925C1" w:rsidP="00D23258">
                              <w:pPr>
                                <w:rPr>
                                  <w:rFonts w:cs="Tahoma"/>
                                </w:rPr>
                              </w:pPr>
                              <w:r w:rsidRPr="00385384">
                                <w:rPr>
                                  <w:rFonts w:cs="Tahoma"/>
                                </w:rPr>
                                <w:t>No Grounds</w:t>
                              </w:r>
                            </w:p>
                          </w:tc>
                          <w:tc>
                            <w:tcPr>
                              <w:tcW w:w="1276" w:type="dxa"/>
                              <w:tcBorders>
                                <w:left w:val="single" w:sz="24" w:space="0" w:color="auto"/>
                              </w:tcBorders>
                              <w:vAlign w:val="center"/>
                              <w:hideMark/>
                            </w:tcPr>
                            <w:p w14:paraId="4886231A" w14:textId="77777777" w:rsidR="009925C1" w:rsidRPr="00385384" w:rsidRDefault="009925C1" w:rsidP="00D23258">
                              <w:pPr>
                                <w:rPr>
                                  <w:rFonts w:cs="Tahoma"/>
                                </w:rPr>
                              </w:pPr>
                              <w:r w:rsidRPr="00385384">
                                <w:rPr>
                                  <w:rFonts w:cs="Tahoma"/>
                                </w:rPr>
                                <w:t>4308</w:t>
                              </w:r>
                            </w:p>
                          </w:tc>
                          <w:tc>
                            <w:tcPr>
                              <w:tcW w:w="1701" w:type="dxa"/>
                              <w:vAlign w:val="center"/>
                            </w:tcPr>
                            <w:p w14:paraId="5CFD8AE3" w14:textId="77777777" w:rsidR="009925C1" w:rsidRPr="00385384" w:rsidRDefault="009925C1" w:rsidP="00D23258">
                              <w:pPr>
                                <w:rPr>
                                  <w:rFonts w:cs="Tahoma"/>
                                </w:rPr>
                              </w:pPr>
                              <w:r w:rsidRPr="00385384">
                                <w:rPr>
                                  <w:rFonts w:cs="Tahoma"/>
                                </w:rPr>
                                <w:t>17.6%</w:t>
                              </w:r>
                            </w:p>
                          </w:tc>
                          <w:tc>
                            <w:tcPr>
                              <w:tcW w:w="1701" w:type="dxa"/>
                              <w:vAlign w:val="center"/>
                            </w:tcPr>
                            <w:p w14:paraId="05C61CA1" w14:textId="77777777" w:rsidR="009925C1" w:rsidRPr="00385384" w:rsidRDefault="009925C1" w:rsidP="00D23258">
                              <w:pPr>
                                <w:rPr>
                                  <w:rFonts w:cs="Tahoma"/>
                                </w:rPr>
                              </w:pPr>
                              <w:r w:rsidRPr="00385384">
                                <w:rPr>
                                  <w:rFonts w:cs="Tahoma"/>
                                </w:rPr>
                                <w:t>2%</w:t>
                              </w:r>
                            </w:p>
                          </w:tc>
                        </w:tr>
                        <w:tr w:rsidR="009925C1" w:rsidRPr="00CB687E" w14:paraId="29922A40" w14:textId="77777777" w:rsidTr="00D23258">
                          <w:trPr>
                            <w:trHeight w:val="290"/>
                          </w:trPr>
                          <w:tc>
                            <w:tcPr>
                              <w:tcW w:w="2547" w:type="dxa"/>
                              <w:tcBorders>
                                <w:right w:val="single" w:sz="24" w:space="0" w:color="auto"/>
                              </w:tcBorders>
                              <w:noWrap/>
                              <w:vAlign w:val="center"/>
                              <w:hideMark/>
                            </w:tcPr>
                            <w:p w14:paraId="20AEBACA" w14:textId="77777777" w:rsidR="009925C1" w:rsidRPr="00385384" w:rsidRDefault="009925C1" w:rsidP="00D23258">
                              <w:pPr>
                                <w:rPr>
                                  <w:rFonts w:cs="Tahoma"/>
                                </w:rPr>
                              </w:pPr>
                              <w:r w:rsidRPr="00385384">
                                <w:rPr>
                                  <w:rFonts w:cs="Tahoma"/>
                                </w:rPr>
                                <w:t>Race</w:t>
                              </w:r>
                            </w:p>
                          </w:tc>
                          <w:tc>
                            <w:tcPr>
                              <w:tcW w:w="1276" w:type="dxa"/>
                              <w:tcBorders>
                                <w:left w:val="single" w:sz="24" w:space="0" w:color="auto"/>
                              </w:tcBorders>
                              <w:vAlign w:val="center"/>
                              <w:hideMark/>
                            </w:tcPr>
                            <w:p w14:paraId="6A4099C4" w14:textId="77777777" w:rsidR="009925C1" w:rsidRPr="00385384" w:rsidRDefault="009925C1" w:rsidP="00D23258">
                              <w:pPr>
                                <w:rPr>
                                  <w:rFonts w:cs="Tahoma"/>
                                </w:rPr>
                              </w:pPr>
                              <w:r w:rsidRPr="00385384">
                                <w:rPr>
                                  <w:rFonts w:cs="Tahoma"/>
                                </w:rPr>
                                <w:t>3425</w:t>
                              </w:r>
                            </w:p>
                          </w:tc>
                          <w:tc>
                            <w:tcPr>
                              <w:tcW w:w="1701" w:type="dxa"/>
                              <w:vAlign w:val="center"/>
                            </w:tcPr>
                            <w:p w14:paraId="4B57F1DC" w14:textId="77777777" w:rsidR="009925C1" w:rsidRPr="00385384" w:rsidRDefault="009925C1" w:rsidP="00D23258">
                              <w:pPr>
                                <w:rPr>
                                  <w:rFonts w:cs="Tahoma"/>
                                </w:rPr>
                              </w:pPr>
                              <w:r w:rsidRPr="00385384">
                                <w:rPr>
                                  <w:rFonts w:cs="Tahoma"/>
                                </w:rPr>
                                <w:t>14%</w:t>
                              </w:r>
                            </w:p>
                          </w:tc>
                          <w:tc>
                            <w:tcPr>
                              <w:tcW w:w="1701" w:type="dxa"/>
                              <w:vAlign w:val="center"/>
                            </w:tcPr>
                            <w:p w14:paraId="07E64FDB" w14:textId="77777777" w:rsidR="009925C1" w:rsidRPr="00385384" w:rsidRDefault="009925C1" w:rsidP="00D23258">
                              <w:pPr>
                                <w:rPr>
                                  <w:rFonts w:cs="Tahoma"/>
                                </w:rPr>
                              </w:pPr>
                              <w:r w:rsidRPr="00385384">
                                <w:rPr>
                                  <w:rFonts w:cs="Tahoma"/>
                                </w:rPr>
                                <w:t>28%</w:t>
                              </w:r>
                            </w:p>
                          </w:tc>
                        </w:tr>
                        <w:tr w:rsidR="009925C1" w:rsidRPr="00CB687E" w14:paraId="107E5A8E" w14:textId="77777777" w:rsidTr="00D23258">
                          <w:trPr>
                            <w:trHeight w:val="290"/>
                          </w:trPr>
                          <w:tc>
                            <w:tcPr>
                              <w:tcW w:w="2547" w:type="dxa"/>
                              <w:tcBorders>
                                <w:right w:val="single" w:sz="24" w:space="0" w:color="auto"/>
                              </w:tcBorders>
                              <w:noWrap/>
                              <w:vAlign w:val="center"/>
                              <w:hideMark/>
                            </w:tcPr>
                            <w:p w14:paraId="676B9ABC" w14:textId="77777777" w:rsidR="009925C1" w:rsidRPr="00385384" w:rsidRDefault="009925C1" w:rsidP="00D23258">
                              <w:pPr>
                                <w:rPr>
                                  <w:rFonts w:cs="Tahoma"/>
                                </w:rPr>
                              </w:pPr>
                              <w:r w:rsidRPr="00385384">
                                <w:rPr>
                                  <w:rFonts w:cs="Tahoma"/>
                                </w:rPr>
                                <w:t>Sex, Gender and Pregnancy</w:t>
                              </w:r>
                            </w:p>
                          </w:tc>
                          <w:tc>
                            <w:tcPr>
                              <w:tcW w:w="1276" w:type="dxa"/>
                              <w:tcBorders>
                                <w:left w:val="single" w:sz="24" w:space="0" w:color="auto"/>
                              </w:tcBorders>
                              <w:vAlign w:val="center"/>
                              <w:hideMark/>
                            </w:tcPr>
                            <w:p w14:paraId="261C150F" w14:textId="77777777" w:rsidR="009925C1" w:rsidRPr="00385384" w:rsidRDefault="009925C1" w:rsidP="00D23258">
                              <w:pPr>
                                <w:rPr>
                                  <w:rFonts w:cs="Tahoma"/>
                                </w:rPr>
                              </w:pPr>
                              <w:r w:rsidRPr="00385384">
                                <w:rPr>
                                  <w:rFonts w:cs="Tahoma"/>
                                </w:rPr>
                                <w:t>2055</w:t>
                              </w:r>
                            </w:p>
                          </w:tc>
                          <w:tc>
                            <w:tcPr>
                              <w:tcW w:w="1701" w:type="dxa"/>
                              <w:vAlign w:val="center"/>
                            </w:tcPr>
                            <w:p w14:paraId="1E60B678" w14:textId="77777777" w:rsidR="009925C1" w:rsidRPr="00385384" w:rsidRDefault="009925C1" w:rsidP="00D23258">
                              <w:pPr>
                                <w:rPr>
                                  <w:rFonts w:cs="Tahoma"/>
                                </w:rPr>
                              </w:pPr>
                              <w:r w:rsidRPr="00385384">
                                <w:rPr>
                                  <w:rFonts w:cs="Tahoma"/>
                                </w:rPr>
                                <w:t>8.4%</w:t>
                              </w:r>
                            </w:p>
                          </w:tc>
                          <w:tc>
                            <w:tcPr>
                              <w:tcW w:w="1701" w:type="dxa"/>
                              <w:vAlign w:val="center"/>
                            </w:tcPr>
                            <w:p w14:paraId="7F44E126" w14:textId="77777777" w:rsidR="009925C1" w:rsidRPr="00385384" w:rsidRDefault="009925C1" w:rsidP="00D23258">
                              <w:pPr>
                                <w:rPr>
                                  <w:rFonts w:cs="Tahoma"/>
                                </w:rPr>
                              </w:pPr>
                              <w:r w:rsidRPr="00385384">
                                <w:rPr>
                                  <w:rFonts w:cs="Tahoma"/>
                                </w:rPr>
                                <w:t>15%</w:t>
                              </w:r>
                            </w:p>
                          </w:tc>
                        </w:tr>
                        <w:tr w:rsidR="009925C1" w:rsidRPr="00CB687E" w14:paraId="497E8723" w14:textId="77777777" w:rsidTr="00D23258">
                          <w:trPr>
                            <w:trHeight w:val="290"/>
                          </w:trPr>
                          <w:tc>
                            <w:tcPr>
                              <w:tcW w:w="2547" w:type="dxa"/>
                              <w:tcBorders>
                                <w:right w:val="single" w:sz="24" w:space="0" w:color="auto"/>
                              </w:tcBorders>
                              <w:noWrap/>
                              <w:vAlign w:val="center"/>
                              <w:hideMark/>
                            </w:tcPr>
                            <w:p w14:paraId="5A64B4DA" w14:textId="77777777" w:rsidR="009925C1" w:rsidRPr="00385384" w:rsidRDefault="009925C1" w:rsidP="00D23258">
                              <w:pPr>
                                <w:rPr>
                                  <w:rFonts w:cs="Tahoma"/>
                                </w:rPr>
                              </w:pPr>
                              <w:r w:rsidRPr="00385384">
                                <w:rPr>
                                  <w:rFonts w:cs="Tahoma"/>
                                </w:rPr>
                                <w:t>Colour</w:t>
                              </w:r>
                            </w:p>
                          </w:tc>
                          <w:tc>
                            <w:tcPr>
                              <w:tcW w:w="1276" w:type="dxa"/>
                              <w:tcBorders>
                                <w:left w:val="single" w:sz="24" w:space="0" w:color="auto"/>
                              </w:tcBorders>
                              <w:vAlign w:val="center"/>
                              <w:hideMark/>
                            </w:tcPr>
                            <w:p w14:paraId="647B0308" w14:textId="77777777" w:rsidR="009925C1" w:rsidRPr="00385384" w:rsidRDefault="009925C1" w:rsidP="00D23258">
                              <w:pPr>
                                <w:rPr>
                                  <w:rFonts w:cs="Tahoma"/>
                                </w:rPr>
                              </w:pPr>
                              <w:r w:rsidRPr="00385384">
                                <w:rPr>
                                  <w:rFonts w:cs="Tahoma"/>
                                </w:rPr>
                                <w:t>1910</w:t>
                              </w:r>
                            </w:p>
                          </w:tc>
                          <w:tc>
                            <w:tcPr>
                              <w:tcW w:w="1701" w:type="dxa"/>
                              <w:vAlign w:val="center"/>
                            </w:tcPr>
                            <w:p w14:paraId="5E304310" w14:textId="77777777" w:rsidR="009925C1" w:rsidRPr="00385384" w:rsidRDefault="009925C1" w:rsidP="00D23258">
                              <w:pPr>
                                <w:rPr>
                                  <w:rFonts w:cs="Tahoma"/>
                                </w:rPr>
                              </w:pPr>
                              <w:r w:rsidRPr="00385384">
                                <w:rPr>
                                  <w:rFonts w:cs="Tahoma"/>
                                </w:rPr>
                                <w:t>7.8%</w:t>
                              </w:r>
                            </w:p>
                          </w:tc>
                          <w:tc>
                            <w:tcPr>
                              <w:tcW w:w="1701" w:type="dxa"/>
                              <w:vAlign w:val="center"/>
                            </w:tcPr>
                            <w:p w14:paraId="7C89B1FF" w14:textId="77777777" w:rsidR="009925C1" w:rsidRPr="00385384" w:rsidRDefault="009925C1" w:rsidP="00D23258">
                              <w:pPr>
                                <w:rPr>
                                  <w:rFonts w:cs="Tahoma"/>
                                </w:rPr>
                              </w:pPr>
                              <w:r w:rsidRPr="00385384">
                                <w:rPr>
                                  <w:rFonts w:cs="Tahoma"/>
                                </w:rPr>
                                <w:t>18%</w:t>
                              </w:r>
                            </w:p>
                          </w:tc>
                        </w:tr>
                        <w:tr w:rsidR="009925C1" w:rsidRPr="00CB687E" w14:paraId="7BA71E2B" w14:textId="77777777" w:rsidTr="00D23258">
                          <w:trPr>
                            <w:trHeight w:val="290"/>
                          </w:trPr>
                          <w:tc>
                            <w:tcPr>
                              <w:tcW w:w="2547" w:type="dxa"/>
                              <w:tcBorders>
                                <w:right w:val="single" w:sz="24" w:space="0" w:color="auto"/>
                              </w:tcBorders>
                              <w:noWrap/>
                              <w:vAlign w:val="center"/>
                              <w:hideMark/>
                            </w:tcPr>
                            <w:p w14:paraId="16131B2A" w14:textId="77777777" w:rsidR="009925C1" w:rsidRPr="00385384" w:rsidRDefault="009925C1" w:rsidP="00D23258">
                              <w:pPr>
                                <w:rPr>
                                  <w:rFonts w:cs="Tahoma"/>
                                </w:rPr>
                              </w:pPr>
                              <w:r w:rsidRPr="00385384">
                                <w:rPr>
                                  <w:rFonts w:cs="Tahoma"/>
                                </w:rPr>
                                <w:t>Ethnic Origin</w:t>
                              </w:r>
                            </w:p>
                          </w:tc>
                          <w:tc>
                            <w:tcPr>
                              <w:tcW w:w="1276" w:type="dxa"/>
                              <w:tcBorders>
                                <w:left w:val="single" w:sz="24" w:space="0" w:color="auto"/>
                              </w:tcBorders>
                              <w:vAlign w:val="center"/>
                              <w:hideMark/>
                            </w:tcPr>
                            <w:p w14:paraId="7605DEBD" w14:textId="77777777" w:rsidR="009925C1" w:rsidRPr="00385384" w:rsidRDefault="009925C1" w:rsidP="00D23258">
                              <w:pPr>
                                <w:rPr>
                                  <w:rFonts w:cs="Tahoma"/>
                                </w:rPr>
                              </w:pPr>
                              <w:r w:rsidRPr="00385384">
                                <w:rPr>
                                  <w:rFonts w:cs="Tahoma"/>
                                </w:rPr>
                                <w:t>1704</w:t>
                              </w:r>
                            </w:p>
                          </w:tc>
                          <w:tc>
                            <w:tcPr>
                              <w:tcW w:w="1701" w:type="dxa"/>
                              <w:vAlign w:val="center"/>
                            </w:tcPr>
                            <w:p w14:paraId="5A3EF99C" w14:textId="77777777" w:rsidR="009925C1" w:rsidRPr="00385384" w:rsidRDefault="009925C1" w:rsidP="00D23258">
                              <w:pPr>
                                <w:rPr>
                                  <w:rFonts w:cs="Tahoma"/>
                                </w:rPr>
                              </w:pPr>
                              <w:r w:rsidRPr="00385384">
                                <w:rPr>
                                  <w:rFonts w:cs="Tahoma"/>
                                </w:rPr>
                                <w:t>7%</w:t>
                              </w:r>
                            </w:p>
                          </w:tc>
                          <w:tc>
                            <w:tcPr>
                              <w:tcW w:w="1701" w:type="dxa"/>
                              <w:vAlign w:val="center"/>
                            </w:tcPr>
                            <w:p w14:paraId="3CFAC6BD" w14:textId="77777777" w:rsidR="009925C1" w:rsidRPr="00385384" w:rsidRDefault="009925C1" w:rsidP="00D23258">
                              <w:pPr>
                                <w:rPr>
                                  <w:rFonts w:cs="Tahoma"/>
                                </w:rPr>
                              </w:pPr>
                              <w:r w:rsidRPr="00385384">
                                <w:rPr>
                                  <w:rFonts w:cs="Tahoma"/>
                                </w:rPr>
                                <w:t>20%</w:t>
                              </w:r>
                            </w:p>
                          </w:tc>
                        </w:tr>
                        <w:tr w:rsidR="009925C1" w:rsidRPr="00CB687E" w14:paraId="70649C1F" w14:textId="77777777" w:rsidTr="00D23258">
                          <w:trPr>
                            <w:trHeight w:val="290"/>
                          </w:trPr>
                          <w:tc>
                            <w:tcPr>
                              <w:tcW w:w="2547" w:type="dxa"/>
                              <w:tcBorders>
                                <w:right w:val="single" w:sz="24" w:space="0" w:color="auto"/>
                              </w:tcBorders>
                              <w:noWrap/>
                              <w:vAlign w:val="center"/>
                              <w:hideMark/>
                            </w:tcPr>
                            <w:p w14:paraId="553D4BD5" w14:textId="77777777" w:rsidR="009925C1" w:rsidRPr="00385384" w:rsidRDefault="009925C1" w:rsidP="00D23258">
                              <w:pPr>
                                <w:rPr>
                                  <w:rFonts w:cs="Tahoma"/>
                                </w:rPr>
                              </w:pPr>
                              <w:r w:rsidRPr="00385384">
                                <w:rPr>
                                  <w:rFonts w:cs="Tahoma"/>
                                </w:rPr>
                                <w:t>Reprisal or Threat of Reprisal</w:t>
                              </w:r>
                            </w:p>
                          </w:tc>
                          <w:tc>
                            <w:tcPr>
                              <w:tcW w:w="1276" w:type="dxa"/>
                              <w:tcBorders>
                                <w:left w:val="single" w:sz="24" w:space="0" w:color="auto"/>
                              </w:tcBorders>
                              <w:vAlign w:val="center"/>
                              <w:hideMark/>
                            </w:tcPr>
                            <w:p w14:paraId="2B932018" w14:textId="77777777" w:rsidR="009925C1" w:rsidRPr="00385384" w:rsidRDefault="009925C1" w:rsidP="00D23258">
                              <w:pPr>
                                <w:rPr>
                                  <w:rFonts w:cs="Tahoma"/>
                                </w:rPr>
                              </w:pPr>
                              <w:r w:rsidRPr="00385384">
                                <w:rPr>
                                  <w:rFonts w:cs="Tahoma"/>
                                </w:rPr>
                                <w:t>1545</w:t>
                              </w:r>
                            </w:p>
                          </w:tc>
                          <w:tc>
                            <w:tcPr>
                              <w:tcW w:w="1701" w:type="dxa"/>
                              <w:vAlign w:val="center"/>
                            </w:tcPr>
                            <w:p w14:paraId="4642F9E8" w14:textId="77777777" w:rsidR="009925C1" w:rsidRPr="00385384" w:rsidRDefault="009925C1" w:rsidP="00D23258">
                              <w:pPr>
                                <w:rPr>
                                  <w:rFonts w:cs="Tahoma"/>
                                </w:rPr>
                              </w:pPr>
                              <w:r w:rsidRPr="00385384">
                                <w:rPr>
                                  <w:rFonts w:cs="Tahoma"/>
                                </w:rPr>
                                <w:t>6.3%</w:t>
                              </w:r>
                            </w:p>
                          </w:tc>
                          <w:tc>
                            <w:tcPr>
                              <w:tcW w:w="1701" w:type="dxa"/>
                              <w:vAlign w:val="center"/>
                            </w:tcPr>
                            <w:p w14:paraId="127A142C" w14:textId="77777777" w:rsidR="009925C1" w:rsidRPr="00385384" w:rsidRDefault="009925C1" w:rsidP="00D23258">
                              <w:pPr>
                                <w:rPr>
                                  <w:rFonts w:cs="Tahoma"/>
                                </w:rPr>
                              </w:pPr>
                              <w:r w:rsidRPr="00385384">
                                <w:rPr>
                                  <w:rFonts w:cs="Tahoma"/>
                                </w:rPr>
                                <w:t>26%</w:t>
                              </w:r>
                            </w:p>
                          </w:tc>
                        </w:tr>
                        <w:tr w:rsidR="009925C1" w:rsidRPr="00CB687E" w14:paraId="0AD7A862" w14:textId="77777777" w:rsidTr="00D23258">
                          <w:trPr>
                            <w:trHeight w:val="290"/>
                          </w:trPr>
                          <w:tc>
                            <w:tcPr>
                              <w:tcW w:w="2547" w:type="dxa"/>
                              <w:tcBorders>
                                <w:right w:val="single" w:sz="24" w:space="0" w:color="auto"/>
                              </w:tcBorders>
                              <w:noWrap/>
                              <w:vAlign w:val="center"/>
                              <w:hideMark/>
                            </w:tcPr>
                            <w:p w14:paraId="5EC63DAE" w14:textId="77777777" w:rsidR="009925C1" w:rsidRPr="00385384" w:rsidRDefault="009925C1" w:rsidP="00D23258">
                              <w:pPr>
                                <w:rPr>
                                  <w:rFonts w:cs="Tahoma"/>
                                </w:rPr>
                              </w:pPr>
                              <w:r w:rsidRPr="00385384">
                                <w:rPr>
                                  <w:rFonts w:cs="Tahoma"/>
                                </w:rPr>
                                <w:t>Place Of Origin</w:t>
                              </w:r>
                            </w:p>
                          </w:tc>
                          <w:tc>
                            <w:tcPr>
                              <w:tcW w:w="1276" w:type="dxa"/>
                              <w:tcBorders>
                                <w:left w:val="single" w:sz="24" w:space="0" w:color="auto"/>
                              </w:tcBorders>
                              <w:vAlign w:val="center"/>
                              <w:hideMark/>
                            </w:tcPr>
                            <w:p w14:paraId="7639361E" w14:textId="77777777" w:rsidR="009925C1" w:rsidRPr="00385384" w:rsidRDefault="009925C1" w:rsidP="00D23258">
                              <w:pPr>
                                <w:rPr>
                                  <w:rFonts w:cs="Tahoma"/>
                                </w:rPr>
                              </w:pPr>
                              <w:r w:rsidRPr="00385384">
                                <w:rPr>
                                  <w:rFonts w:cs="Tahoma"/>
                                </w:rPr>
                                <w:t>1465</w:t>
                              </w:r>
                            </w:p>
                          </w:tc>
                          <w:tc>
                            <w:tcPr>
                              <w:tcW w:w="1701" w:type="dxa"/>
                              <w:vAlign w:val="center"/>
                            </w:tcPr>
                            <w:p w14:paraId="0BDE0B0C" w14:textId="77777777" w:rsidR="009925C1" w:rsidRPr="00385384" w:rsidRDefault="009925C1" w:rsidP="00D23258">
                              <w:pPr>
                                <w:rPr>
                                  <w:rFonts w:cs="Tahoma"/>
                                </w:rPr>
                              </w:pPr>
                              <w:r w:rsidRPr="00385384">
                                <w:rPr>
                                  <w:rFonts w:cs="Tahoma"/>
                                </w:rPr>
                                <w:t>6%</w:t>
                              </w:r>
                            </w:p>
                          </w:tc>
                          <w:tc>
                            <w:tcPr>
                              <w:tcW w:w="1701" w:type="dxa"/>
                              <w:vAlign w:val="center"/>
                            </w:tcPr>
                            <w:p w14:paraId="605A7F6F" w14:textId="77777777" w:rsidR="009925C1" w:rsidRPr="00385384" w:rsidRDefault="009925C1" w:rsidP="00D23258">
                              <w:pPr>
                                <w:rPr>
                                  <w:rFonts w:cs="Tahoma"/>
                                </w:rPr>
                              </w:pPr>
                              <w:r w:rsidRPr="00385384">
                                <w:rPr>
                                  <w:rFonts w:cs="Tahoma"/>
                                </w:rPr>
                                <w:t>13%</w:t>
                              </w:r>
                            </w:p>
                          </w:tc>
                        </w:tr>
                        <w:tr w:rsidR="009925C1" w:rsidRPr="00CB687E" w14:paraId="618B4C61" w14:textId="77777777" w:rsidTr="00D23258">
                          <w:trPr>
                            <w:trHeight w:val="290"/>
                          </w:trPr>
                          <w:tc>
                            <w:tcPr>
                              <w:tcW w:w="2547" w:type="dxa"/>
                              <w:tcBorders>
                                <w:right w:val="single" w:sz="24" w:space="0" w:color="auto"/>
                              </w:tcBorders>
                              <w:noWrap/>
                              <w:vAlign w:val="center"/>
                              <w:hideMark/>
                            </w:tcPr>
                            <w:p w14:paraId="0E637007" w14:textId="77777777" w:rsidR="009925C1" w:rsidRPr="00385384" w:rsidRDefault="009925C1" w:rsidP="00D23258">
                              <w:pPr>
                                <w:rPr>
                                  <w:rFonts w:cs="Tahoma"/>
                                </w:rPr>
                              </w:pPr>
                              <w:r w:rsidRPr="00385384">
                                <w:rPr>
                                  <w:rFonts w:cs="Tahoma"/>
                                </w:rPr>
                                <w:t>Family Status</w:t>
                              </w:r>
                            </w:p>
                          </w:tc>
                          <w:tc>
                            <w:tcPr>
                              <w:tcW w:w="1276" w:type="dxa"/>
                              <w:tcBorders>
                                <w:left w:val="single" w:sz="24" w:space="0" w:color="auto"/>
                              </w:tcBorders>
                              <w:vAlign w:val="center"/>
                              <w:hideMark/>
                            </w:tcPr>
                            <w:p w14:paraId="17CD6768" w14:textId="77777777" w:rsidR="009925C1" w:rsidRPr="00385384" w:rsidRDefault="009925C1" w:rsidP="00D23258">
                              <w:pPr>
                                <w:rPr>
                                  <w:rFonts w:cs="Tahoma"/>
                                </w:rPr>
                              </w:pPr>
                              <w:r w:rsidRPr="00385384">
                                <w:rPr>
                                  <w:rFonts w:cs="Tahoma"/>
                                </w:rPr>
                                <w:t>1362</w:t>
                              </w:r>
                            </w:p>
                          </w:tc>
                          <w:tc>
                            <w:tcPr>
                              <w:tcW w:w="1701" w:type="dxa"/>
                              <w:vAlign w:val="center"/>
                            </w:tcPr>
                            <w:p w14:paraId="3E04B05C" w14:textId="77777777" w:rsidR="009925C1" w:rsidRPr="00385384" w:rsidRDefault="009925C1" w:rsidP="00D23258">
                              <w:pPr>
                                <w:rPr>
                                  <w:rFonts w:cs="Tahoma"/>
                                </w:rPr>
                              </w:pPr>
                              <w:r w:rsidRPr="00385384">
                                <w:rPr>
                                  <w:rFonts w:cs="Tahoma"/>
                                </w:rPr>
                                <w:t>5.6%</w:t>
                              </w:r>
                            </w:p>
                          </w:tc>
                          <w:tc>
                            <w:tcPr>
                              <w:tcW w:w="1701" w:type="dxa"/>
                              <w:vAlign w:val="center"/>
                            </w:tcPr>
                            <w:p w14:paraId="54EEA05F" w14:textId="77777777" w:rsidR="009925C1" w:rsidRPr="00385384" w:rsidRDefault="009925C1" w:rsidP="00D23258">
                              <w:pPr>
                                <w:rPr>
                                  <w:rFonts w:cs="Tahoma"/>
                                </w:rPr>
                              </w:pPr>
                              <w:r w:rsidRPr="00385384">
                                <w:rPr>
                                  <w:rFonts w:cs="Tahoma"/>
                                </w:rPr>
                                <w:t>10%</w:t>
                              </w:r>
                            </w:p>
                          </w:tc>
                        </w:tr>
                        <w:tr w:rsidR="009925C1" w:rsidRPr="00CB687E" w14:paraId="57C434D1" w14:textId="77777777" w:rsidTr="00D23258">
                          <w:trPr>
                            <w:trHeight w:val="290"/>
                          </w:trPr>
                          <w:tc>
                            <w:tcPr>
                              <w:tcW w:w="2547" w:type="dxa"/>
                              <w:tcBorders>
                                <w:right w:val="single" w:sz="24" w:space="0" w:color="auto"/>
                              </w:tcBorders>
                              <w:noWrap/>
                              <w:vAlign w:val="center"/>
                              <w:hideMark/>
                            </w:tcPr>
                            <w:p w14:paraId="37FE0659" w14:textId="77777777" w:rsidR="009925C1" w:rsidRPr="00385384" w:rsidRDefault="009925C1" w:rsidP="00D23258">
                              <w:pPr>
                                <w:rPr>
                                  <w:rFonts w:cs="Tahoma"/>
                                </w:rPr>
                              </w:pPr>
                              <w:r w:rsidRPr="00385384">
                                <w:rPr>
                                  <w:rFonts w:cs="Tahoma"/>
                                </w:rPr>
                                <w:t>Age</w:t>
                              </w:r>
                            </w:p>
                          </w:tc>
                          <w:tc>
                            <w:tcPr>
                              <w:tcW w:w="1276" w:type="dxa"/>
                              <w:tcBorders>
                                <w:left w:val="single" w:sz="24" w:space="0" w:color="auto"/>
                              </w:tcBorders>
                              <w:vAlign w:val="center"/>
                              <w:hideMark/>
                            </w:tcPr>
                            <w:p w14:paraId="27464765" w14:textId="77777777" w:rsidR="009925C1" w:rsidRPr="00385384" w:rsidRDefault="009925C1" w:rsidP="00D23258">
                              <w:pPr>
                                <w:rPr>
                                  <w:rFonts w:cs="Tahoma"/>
                                </w:rPr>
                              </w:pPr>
                              <w:r w:rsidRPr="00385384">
                                <w:rPr>
                                  <w:rFonts w:cs="Tahoma"/>
                                </w:rPr>
                                <w:t>1289</w:t>
                              </w:r>
                            </w:p>
                          </w:tc>
                          <w:tc>
                            <w:tcPr>
                              <w:tcW w:w="1701" w:type="dxa"/>
                              <w:vAlign w:val="center"/>
                            </w:tcPr>
                            <w:p w14:paraId="4E2DB6F9" w14:textId="77777777" w:rsidR="009925C1" w:rsidRPr="00385384" w:rsidRDefault="009925C1" w:rsidP="00D23258">
                              <w:pPr>
                                <w:rPr>
                                  <w:rFonts w:cs="Tahoma"/>
                                </w:rPr>
                              </w:pPr>
                              <w:r w:rsidRPr="00385384">
                                <w:rPr>
                                  <w:rFonts w:cs="Tahoma"/>
                                </w:rPr>
                                <w:t>5.3%</w:t>
                              </w:r>
                            </w:p>
                          </w:tc>
                          <w:tc>
                            <w:tcPr>
                              <w:tcW w:w="1701" w:type="dxa"/>
                              <w:vAlign w:val="center"/>
                            </w:tcPr>
                            <w:p w14:paraId="4AD13AA9" w14:textId="77777777" w:rsidR="009925C1" w:rsidRPr="00385384" w:rsidRDefault="009925C1" w:rsidP="00D23258">
                              <w:pPr>
                                <w:rPr>
                                  <w:rFonts w:cs="Tahoma"/>
                                </w:rPr>
                              </w:pPr>
                              <w:r w:rsidRPr="00385384">
                                <w:rPr>
                                  <w:rFonts w:cs="Tahoma"/>
                                </w:rPr>
                                <w:t>12%</w:t>
                              </w:r>
                            </w:p>
                          </w:tc>
                        </w:tr>
                        <w:tr w:rsidR="009925C1" w:rsidRPr="00CB687E" w14:paraId="23BC3B90" w14:textId="77777777" w:rsidTr="00D23258">
                          <w:trPr>
                            <w:trHeight w:val="290"/>
                          </w:trPr>
                          <w:tc>
                            <w:tcPr>
                              <w:tcW w:w="2547" w:type="dxa"/>
                              <w:tcBorders>
                                <w:right w:val="single" w:sz="24" w:space="0" w:color="auto"/>
                              </w:tcBorders>
                              <w:noWrap/>
                              <w:vAlign w:val="center"/>
                              <w:hideMark/>
                            </w:tcPr>
                            <w:p w14:paraId="1D2B2473" w14:textId="77777777" w:rsidR="009925C1" w:rsidRPr="00385384" w:rsidRDefault="009925C1" w:rsidP="00D23258">
                              <w:pPr>
                                <w:rPr>
                                  <w:rFonts w:cs="Tahoma"/>
                                </w:rPr>
                              </w:pPr>
                              <w:r w:rsidRPr="00385384">
                                <w:rPr>
                                  <w:rFonts w:cs="Tahoma"/>
                                </w:rPr>
                                <w:t>Sexual Harassment</w:t>
                              </w:r>
                            </w:p>
                          </w:tc>
                          <w:tc>
                            <w:tcPr>
                              <w:tcW w:w="1276" w:type="dxa"/>
                              <w:tcBorders>
                                <w:left w:val="single" w:sz="24" w:space="0" w:color="auto"/>
                              </w:tcBorders>
                              <w:vAlign w:val="center"/>
                              <w:hideMark/>
                            </w:tcPr>
                            <w:p w14:paraId="1B22002F" w14:textId="77777777" w:rsidR="009925C1" w:rsidRPr="00385384" w:rsidRDefault="009925C1" w:rsidP="00D23258">
                              <w:pPr>
                                <w:rPr>
                                  <w:rFonts w:cs="Tahoma"/>
                                </w:rPr>
                              </w:pPr>
                              <w:r w:rsidRPr="00385384">
                                <w:rPr>
                                  <w:rFonts w:cs="Tahoma"/>
                                </w:rPr>
                                <w:t>1001</w:t>
                              </w:r>
                            </w:p>
                          </w:tc>
                          <w:tc>
                            <w:tcPr>
                              <w:tcW w:w="1701" w:type="dxa"/>
                              <w:vAlign w:val="center"/>
                            </w:tcPr>
                            <w:p w14:paraId="026DCB97" w14:textId="77777777" w:rsidR="009925C1" w:rsidRPr="00385384" w:rsidRDefault="009925C1" w:rsidP="00D23258">
                              <w:pPr>
                                <w:rPr>
                                  <w:rFonts w:cs="Tahoma"/>
                                </w:rPr>
                              </w:pPr>
                              <w:r w:rsidRPr="00385384">
                                <w:rPr>
                                  <w:rFonts w:cs="Tahoma"/>
                                </w:rPr>
                                <w:t>4.1%</w:t>
                              </w:r>
                            </w:p>
                          </w:tc>
                          <w:tc>
                            <w:tcPr>
                              <w:tcW w:w="1701" w:type="dxa"/>
                              <w:vAlign w:val="center"/>
                            </w:tcPr>
                            <w:p w14:paraId="49282264" w14:textId="77777777" w:rsidR="009925C1" w:rsidRPr="00385384" w:rsidRDefault="009925C1" w:rsidP="00D23258">
                              <w:pPr>
                                <w:rPr>
                                  <w:rFonts w:cs="Tahoma"/>
                                </w:rPr>
                              </w:pPr>
                              <w:r w:rsidRPr="00385384">
                                <w:rPr>
                                  <w:rFonts w:cs="Tahoma"/>
                                </w:rPr>
                                <w:t>15%</w:t>
                              </w:r>
                            </w:p>
                          </w:tc>
                        </w:tr>
                        <w:tr w:rsidR="009925C1" w:rsidRPr="00CB687E" w14:paraId="3DC82106" w14:textId="77777777" w:rsidTr="00D23258">
                          <w:trPr>
                            <w:trHeight w:val="290"/>
                          </w:trPr>
                          <w:tc>
                            <w:tcPr>
                              <w:tcW w:w="2547" w:type="dxa"/>
                              <w:tcBorders>
                                <w:right w:val="single" w:sz="24" w:space="0" w:color="auto"/>
                              </w:tcBorders>
                              <w:noWrap/>
                              <w:vAlign w:val="center"/>
                              <w:hideMark/>
                            </w:tcPr>
                            <w:p w14:paraId="0745B6A4" w14:textId="77777777" w:rsidR="009925C1" w:rsidRPr="00385384" w:rsidRDefault="009925C1" w:rsidP="00D23258">
                              <w:pPr>
                                <w:rPr>
                                  <w:rFonts w:cs="Tahoma"/>
                                </w:rPr>
                              </w:pPr>
                              <w:r w:rsidRPr="00385384">
                                <w:rPr>
                                  <w:rFonts w:cs="Tahoma"/>
                                </w:rPr>
                                <w:t>Creed</w:t>
                              </w:r>
                            </w:p>
                          </w:tc>
                          <w:tc>
                            <w:tcPr>
                              <w:tcW w:w="1276" w:type="dxa"/>
                              <w:tcBorders>
                                <w:left w:val="single" w:sz="24" w:space="0" w:color="auto"/>
                              </w:tcBorders>
                              <w:vAlign w:val="center"/>
                              <w:hideMark/>
                            </w:tcPr>
                            <w:p w14:paraId="187C7551" w14:textId="77777777" w:rsidR="009925C1" w:rsidRPr="00385384" w:rsidRDefault="009925C1" w:rsidP="00D23258">
                              <w:pPr>
                                <w:rPr>
                                  <w:rFonts w:cs="Tahoma"/>
                                </w:rPr>
                              </w:pPr>
                              <w:r w:rsidRPr="00385384">
                                <w:rPr>
                                  <w:rFonts w:cs="Tahoma"/>
                                </w:rPr>
                                <w:t>956</w:t>
                              </w:r>
                            </w:p>
                          </w:tc>
                          <w:tc>
                            <w:tcPr>
                              <w:tcW w:w="1701" w:type="dxa"/>
                              <w:vAlign w:val="center"/>
                            </w:tcPr>
                            <w:p w14:paraId="79AD5FB1" w14:textId="77777777" w:rsidR="009925C1" w:rsidRPr="00385384" w:rsidRDefault="009925C1" w:rsidP="00D23258">
                              <w:pPr>
                                <w:rPr>
                                  <w:rFonts w:cs="Tahoma"/>
                                </w:rPr>
                              </w:pPr>
                              <w:r w:rsidRPr="00385384">
                                <w:rPr>
                                  <w:rFonts w:cs="Tahoma"/>
                                </w:rPr>
                                <w:t>3.9%</w:t>
                              </w:r>
                            </w:p>
                          </w:tc>
                          <w:tc>
                            <w:tcPr>
                              <w:tcW w:w="1701" w:type="dxa"/>
                              <w:vAlign w:val="center"/>
                            </w:tcPr>
                            <w:p w14:paraId="0B3CFD25" w14:textId="77777777" w:rsidR="009925C1" w:rsidRPr="00385384" w:rsidRDefault="009925C1" w:rsidP="00D23258">
                              <w:pPr>
                                <w:rPr>
                                  <w:rFonts w:cs="Tahoma"/>
                                </w:rPr>
                              </w:pPr>
                              <w:r w:rsidRPr="00385384">
                                <w:rPr>
                                  <w:rFonts w:cs="Tahoma"/>
                                </w:rPr>
                                <w:t>9%</w:t>
                              </w:r>
                            </w:p>
                          </w:tc>
                        </w:tr>
                        <w:tr w:rsidR="009925C1" w:rsidRPr="00CB687E" w14:paraId="54F3722B" w14:textId="77777777" w:rsidTr="00D23258">
                          <w:trPr>
                            <w:trHeight w:val="290"/>
                          </w:trPr>
                          <w:tc>
                            <w:tcPr>
                              <w:tcW w:w="2547" w:type="dxa"/>
                              <w:tcBorders>
                                <w:right w:val="single" w:sz="24" w:space="0" w:color="auto"/>
                              </w:tcBorders>
                              <w:noWrap/>
                              <w:vAlign w:val="center"/>
                              <w:hideMark/>
                            </w:tcPr>
                            <w:p w14:paraId="41A7BFF1" w14:textId="77777777" w:rsidR="009925C1" w:rsidRPr="00385384" w:rsidRDefault="009925C1" w:rsidP="00D23258">
                              <w:pPr>
                                <w:rPr>
                                  <w:rFonts w:cs="Tahoma"/>
                                </w:rPr>
                              </w:pPr>
                              <w:r w:rsidRPr="00385384">
                                <w:rPr>
                                  <w:rFonts w:cs="Tahoma"/>
                                </w:rPr>
                                <w:t>Ancestry</w:t>
                              </w:r>
                            </w:p>
                          </w:tc>
                          <w:tc>
                            <w:tcPr>
                              <w:tcW w:w="1276" w:type="dxa"/>
                              <w:tcBorders>
                                <w:left w:val="single" w:sz="24" w:space="0" w:color="auto"/>
                              </w:tcBorders>
                              <w:vAlign w:val="center"/>
                              <w:hideMark/>
                            </w:tcPr>
                            <w:p w14:paraId="5B7B5571" w14:textId="77777777" w:rsidR="009925C1" w:rsidRPr="00385384" w:rsidRDefault="009925C1" w:rsidP="00D23258">
                              <w:pPr>
                                <w:rPr>
                                  <w:rFonts w:cs="Tahoma"/>
                                </w:rPr>
                              </w:pPr>
                              <w:r w:rsidRPr="00385384">
                                <w:rPr>
                                  <w:rFonts w:cs="Tahoma"/>
                                </w:rPr>
                                <w:t>749</w:t>
                              </w:r>
                            </w:p>
                          </w:tc>
                          <w:tc>
                            <w:tcPr>
                              <w:tcW w:w="1701" w:type="dxa"/>
                              <w:vAlign w:val="center"/>
                            </w:tcPr>
                            <w:p w14:paraId="2589C88A" w14:textId="77777777" w:rsidR="009925C1" w:rsidRPr="00385384" w:rsidRDefault="009925C1" w:rsidP="00D23258">
                              <w:pPr>
                                <w:rPr>
                                  <w:rFonts w:cs="Tahoma"/>
                                </w:rPr>
                              </w:pPr>
                              <w:r w:rsidRPr="00385384">
                                <w:rPr>
                                  <w:rFonts w:cs="Tahoma"/>
                                </w:rPr>
                                <w:t>3%</w:t>
                              </w:r>
                            </w:p>
                          </w:tc>
                          <w:tc>
                            <w:tcPr>
                              <w:tcW w:w="1701" w:type="dxa"/>
                              <w:vAlign w:val="center"/>
                            </w:tcPr>
                            <w:p w14:paraId="31DF0C9B" w14:textId="77777777" w:rsidR="009925C1" w:rsidRPr="00385384" w:rsidRDefault="009925C1" w:rsidP="00D23258">
                              <w:pPr>
                                <w:rPr>
                                  <w:rFonts w:cs="Tahoma"/>
                                </w:rPr>
                              </w:pPr>
                              <w:r w:rsidRPr="00385384">
                                <w:rPr>
                                  <w:rFonts w:cs="Tahoma"/>
                                </w:rPr>
                                <w:t>12%</w:t>
                              </w:r>
                            </w:p>
                          </w:tc>
                        </w:tr>
                        <w:tr w:rsidR="009925C1" w:rsidRPr="00CB687E" w14:paraId="4BB3BEA8" w14:textId="77777777" w:rsidTr="00D23258">
                          <w:trPr>
                            <w:trHeight w:val="290"/>
                          </w:trPr>
                          <w:tc>
                            <w:tcPr>
                              <w:tcW w:w="2547" w:type="dxa"/>
                              <w:tcBorders>
                                <w:right w:val="single" w:sz="24" w:space="0" w:color="auto"/>
                              </w:tcBorders>
                              <w:noWrap/>
                              <w:vAlign w:val="center"/>
                              <w:hideMark/>
                            </w:tcPr>
                            <w:p w14:paraId="1A6FCFFD" w14:textId="77777777" w:rsidR="009925C1" w:rsidRPr="00385384" w:rsidRDefault="009925C1" w:rsidP="00D23258">
                              <w:pPr>
                                <w:rPr>
                                  <w:rFonts w:cs="Tahoma"/>
                                </w:rPr>
                              </w:pPr>
                              <w:r w:rsidRPr="00385384">
                                <w:rPr>
                                  <w:rFonts w:cs="Tahoma"/>
                                </w:rPr>
                                <w:t>Sexual Orientation</w:t>
                              </w:r>
                            </w:p>
                          </w:tc>
                          <w:tc>
                            <w:tcPr>
                              <w:tcW w:w="1276" w:type="dxa"/>
                              <w:tcBorders>
                                <w:left w:val="single" w:sz="24" w:space="0" w:color="auto"/>
                              </w:tcBorders>
                              <w:vAlign w:val="center"/>
                              <w:hideMark/>
                            </w:tcPr>
                            <w:p w14:paraId="4E8AD3C2" w14:textId="77777777" w:rsidR="009925C1" w:rsidRPr="00385384" w:rsidRDefault="009925C1" w:rsidP="00D23258">
                              <w:pPr>
                                <w:rPr>
                                  <w:rFonts w:cs="Tahoma"/>
                                </w:rPr>
                              </w:pPr>
                              <w:r w:rsidRPr="00385384">
                                <w:rPr>
                                  <w:rFonts w:cs="Tahoma"/>
                                </w:rPr>
                                <w:t>464</w:t>
                              </w:r>
                            </w:p>
                          </w:tc>
                          <w:tc>
                            <w:tcPr>
                              <w:tcW w:w="1701" w:type="dxa"/>
                              <w:vAlign w:val="center"/>
                            </w:tcPr>
                            <w:p w14:paraId="3EEA91D1" w14:textId="77777777" w:rsidR="009925C1" w:rsidRPr="00385384" w:rsidRDefault="009925C1" w:rsidP="00D23258">
                              <w:pPr>
                                <w:rPr>
                                  <w:rFonts w:cs="Tahoma"/>
                                </w:rPr>
                              </w:pPr>
                              <w:r w:rsidRPr="00385384">
                                <w:rPr>
                                  <w:rFonts w:cs="Tahoma"/>
                                </w:rPr>
                                <w:t>1.9%</w:t>
                              </w:r>
                            </w:p>
                          </w:tc>
                          <w:tc>
                            <w:tcPr>
                              <w:tcW w:w="1701" w:type="dxa"/>
                              <w:vAlign w:val="center"/>
                            </w:tcPr>
                            <w:p w14:paraId="47E8DEAF" w14:textId="77777777" w:rsidR="009925C1" w:rsidRPr="00385384" w:rsidRDefault="009925C1" w:rsidP="00D23258">
                              <w:pPr>
                                <w:rPr>
                                  <w:rFonts w:cs="Tahoma"/>
                                </w:rPr>
                              </w:pPr>
                              <w:r w:rsidRPr="00385384">
                                <w:rPr>
                                  <w:rFonts w:cs="Tahoma"/>
                                </w:rPr>
                                <w:t>2%</w:t>
                              </w:r>
                            </w:p>
                          </w:tc>
                        </w:tr>
                        <w:tr w:rsidR="009925C1" w:rsidRPr="00CB687E" w14:paraId="2AEABFAA" w14:textId="77777777" w:rsidTr="00D23258">
                          <w:trPr>
                            <w:trHeight w:val="290"/>
                          </w:trPr>
                          <w:tc>
                            <w:tcPr>
                              <w:tcW w:w="2547" w:type="dxa"/>
                              <w:tcBorders>
                                <w:right w:val="single" w:sz="24" w:space="0" w:color="auto"/>
                              </w:tcBorders>
                              <w:noWrap/>
                              <w:vAlign w:val="center"/>
                              <w:hideMark/>
                            </w:tcPr>
                            <w:p w14:paraId="49A62020" w14:textId="77777777" w:rsidR="009925C1" w:rsidRPr="00385384" w:rsidRDefault="009925C1" w:rsidP="00D23258">
                              <w:pPr>
                                <w:rPr>
                                  <w:rFonts w:cs="Tahoma"/>
                                </w:rPr>
                              </w:pPr>
                              <w:r w:rsidRPr="00385384">
                                <w:rPr>
                                  <w:rFonts w:cs="Tahoma"/>
                                </w:rPr>
                                <w:t>Gender Identity</w:t>
                              </w:r>
                            </w:p>
                          </w:tc>
                          <w:tc>
                            <w:tcPr>
                              <w:tcW w:w="1276" w:type="dxa"/>
                              <w:tcBorders>
                                <w:left w:val="single" w:sz="24" w:space="0" w:color="auto"/>
                              </w:tcBorders>
                              <w:vAlign w:val="center"/>
                              <w:hideMark/>
                            </w:tcPr>
                            <w:p w14:paraId="052B5773" w14:textId="77777777" w:rsidR="009925C1" w:rsidRPr="00385384" w:rsidRDefault="009925C1" w:rsidP="00D23258">
                              <w:pPr>
                                <w:rPr>
                                  <w:rFonts w:cs="Tahoma"/>
                                </w:rPr>
                              </w:pPr>
                              <w:r w:rsidRPr="00385384">
                                <w:rPr>
                                  <w:rFonts w:cs="Tahoma"/>
                                </w:rPr>
                                <w:t>444</w:t>
                              </w:r>
                            </w:p>
                          </w:tc>
                          <w:tc>
                            <w:tcPr>
                              <w:tcW w:w="1701" w:type="dxa"/>
                              <w:vAlign w:val="center"/>
                            </w:tcPr>
                            <w:p w14:paraId="6AC698DD" w14:textId="77777777" w:rsidR="009925C1" w:rsidRPr="00385384" w:rsidRDefault="009925C1" w:rsidP="00D23258">
                              <w:pPr>
                                <w:rPr>
                                  <w:rFonts w:cs="Tahoma"/>
                                </w:rPr>
                              </w:pPr>
                              <w:r w:rsidRPr="00385384">
                                <w:rPr>
                                  <w:rFonts w:cs="Tahoma"/>
                                </w:rPr>
                                <w:t>1.8%</w:t>
                              </w:r>
                            </w:p>
                          </w:tc>
                          <w:tc>
                            <w:tcPr>
                              <w:tcW w:w="1701" w:type="dxa"/>
                              <w:vAlign w:val="center"/>
                            </w:tcPr>
                            <w:p w14:paraId="5FE33811" w14:textId="77777777" w:rsidR="009925C1" w:rsidRPr="00385384" w:rsidRDefault="009925C1" w:rsidP="00D23258">
                              <w:pPr>
                                <w:rPr>
                                  <w:rFonts w:cs="Tahoma"/>
                                </w:rPr>
                              </w:pPr>
                              <w:r w:rsidRPr="00385384">
                                <w:rPr>
                                  <w:rFonts w:cs="Tahoma"/>
                                </w:rPr>
                                <w:t>8%</w:t>
                              </w:r>
                            </w:p>
                          </w:tc>
                        </w:tr>
                        <w:tr w:rsidR="009925C1" w:rsidRPr="00CB687E" w14:paraId="5FBA8EA6" w14:textId="77777777" w:rsidTr="00D23258">
                          <w:trPr>
                            <w:trHeight w:val="290"/>
                          </w:trPr>
                          <w:tc>
                            <w:tcPr>
                              <w:tcW w:w="2547" w:type="dxa"/>
                              <w:tcBorders>
                                <w:right w:val="single" w:sz="24" w:space="0" w:color="auto"/>
                              </w:tcBorders>
                              <w:noWrap/>
                              <w:vAlign w:val="center"/>
                              <w:hideMark/>
                            </w:tcPr>
                            <w:p w14:paraId="0AC7AE49" w14:textId="77777777" w:rsidR="009925C1" w:rsidRPr="00385384" w:rsidRDefault="009925C1" w:rsidP="00D23258">
                              <w:pPr>
                                <w:rPr>
                                  <w:rFonts w:cs="Tahoma"/>
                                </w:rPr>
                              </w:pPr>
                              <w:r w:rsidRPr="00385384">
                                <w:rPr>
                                  <w:rFonts w:cs="Tahoma"/>
                                </w:rPr>
                                <w:t>Citizenship</w:t>
                              </w:r>
                            </w:p>
                          </w:tc>
                          <w:tc>
                            <w:tcPr>
                              <w:tcW w:w="1276" w:type="dxa"/>
                              <w:tcBorders>
                                <w:left w:val="single" w:sz="24" w:space="0" w:color="auto"/>
                              </w:tcBorders>
                              <w:vAlign w:val="center"/>
                              <w:hideMark/>
                            </w:tcPr>
                            <w:p w14:paraId="2975CB9C" w14:textId="77777777" w:rsidR="009925C1" w:rsidRPr="00385384" w:rsidRDefault="009925C1" w:rsidP="00D23258">
                              <w:pPr>
                                <w:rPr>
                                  <w:rFonts w:cs="Tahoma"/>
                                </w:rPr>
                              </w:pPr>
                              <w:r w:rsidRPr="00385384">
                                <w:rPr>
                                  <w:rFonts w:cs="Tahoma"/>
                                </w:rPr>
                                <w:t>416</w:t>
                              </w:r>
                            </w:p>
                          </w:tc>
                          <w:tc>
                            <w:tcPr>
                              <w:tcW w:w="1701" w:type="dxa"/>
                              <w:vAlign w:val="center"/>
                            </w:tcPr>
                            <w:p w14:paraId="2710F624" w14:textId="77777777" w:rsidR="009925C1" w:rsidRPr="00385384" w:rsidRDefault="009925C1" w:rsidP="00D23258">
                              <w:pPr>
                                <w:rPr>
                                  <w:rFonts w:cs="Tahoma"/>
                                </w:rPr>
                              </w:pPr>
                              <w:r w:rsidRPr="00385384">
                                <w:rPr>
                                  <w:rFonts w:cs="Tahoma"/>
                                </w:rPr>
                                <w:t>1.7%</w:t>
                              </w:r>
                            </w:p>
                          </w:tc>
                          <w:tc>
                            <w:tcPr>
                              <w:tcW w:w="1701" w:type="dxa"/>
                              <w:vAlign w:val="center"/>
                            </w:tcPr>
                            <w:p w14:paraId="50BF8E15" w14:textId="77777777" w:rsidR="009925C1" w:rsidRPr="00385384" w:rsidRDefault="009925C1" w:rsidP="00D23258">
                              <w:pPr>
                                <w:rPr>
                                  <w:rFonts w:cs="Tahoma"/>
                                </w:rPr>
                              </w:pPr>
                              <w:r w:rsidRPr="00385384">
                                <w:rPr>
                                  <w:rFonts w:cs="Tahoma"/>
                                </w:rPr>
                                <w:t>5%</w:t>
                              </w:r>
                            </w:p>
                          </w:tc>
                        </w:tr>
                        <w:tr w:rsidR="009925C1" w:rsidRPr="00CB687E" w14:paraId="5612AC9C" w14:textId="77777777" w:rsidTr="00D23258">
                          <w:trPr>
                            <w:trHeight w:val="290"/>
                          </w:trPr>
                          <w:tc>
                            <w:tcPr>
                              <w:tcW w:w="2547" w:type="dxa"/>
                              <w:tcBorders>
                                <w:right w:val="single" w:sz="24" w:space="0" w:color="auto"/>
                              </w:tcBorders>
                              <w:noWrap/>
                              <w:vAlign w:val="center"/>
                              <w:hideMark/>
                            </w:tcPr>
                            <w:p w14:paraId="12FF5A0A" w14:textId="77777777" w:rsidR="009925C1" w:rsidRPr="00385384" w:rsidRDefault="009925C1" w:rsidP="00D23258">
                              <w:pPr>
                                <w:rPr>
                                  <w:rFonts w:cs="Tahoma"/>
                                </w:rPr>
                              </w:pPr>
                              <w:r w:rsidRPr="00385384">
                                <w:rPr>
                                  <w:rFonts w:cs="Tahoma"/>
                                </w:rPr>
                                <w:t>Sexual Solicitation, Advances or Reprisals</w:t>
                              </w:r>
                            </w:p>
                          </w:tc>
                          <w:tc>
                            <w:tcPr>
                              <w:tcW w:w="1276" w:type="dxa"/>
                              <w:tcBorders>
                                <w:left w:val="single" w:sz="24" w:space="0" w:color="auto"/>
                              </w:tcBorders>
                              <w:vAlign w:val="center"/>
                              <w:hideMark/>
                            </w:tcPr>
                            <w:p w14:paraId="692DDC0A" w14:textId="77777777" w:rsidR="009925C1" w:rsidRPr="00385384" w:rsidRDefault="009925C1" w:rsidP="00D23258">
                              <w:pPr>
                                <w:rPr>
                                  <w:rFonts w:cs="Tahoma"/>
                                </w:rPr>
                              </w:pPr>
                              <w:r w:rsidRPr="00385384">
                                <w:rPr>
                                  <w:rFonts w:cs="Tahoma"/>
                                </w:rPr>
                                <w:t>386</w:t>
                              </w:r>
                            </w:p>
                          </w:tc>
                          <w:tc>
                            <w:tcPr>
                              <w:tcW w:w="1701" w:type="dxa"/>
                              <w:vAlign w:val="center"/>
                            </w:tcPr>
                            <w:p w14:paraId="1F5F647F" w14:textId="77777777" w:rsidR="009925C1" w:rsidRPr="00385384" w:rsidRDefault="009925C1" w:rsidP="00D23258">
                              <w:pPr>
                                <w:rPr>
                                  <w:rFonts w:cs="Tahoma"/>
                                </w:rPr>
                              </w:pPr>
                              <w:r w:rsidRPr="00385384">
                                <w:rPr>
                                  <w:rFonts w:cs="Tahoma"/>
                                </w:rPr>
                                <w:t>1.6%</w:t>
                              </w:r>
                            </w:p>
                          </w:tc>
                          <w:tc>
                            <w:tcPr>
                              <w:tcW w:w="1701" w:type="dxa"/>
                              <w:vAlign w:val="center"/>
                            </w:tcPr>
                            <w:p w14:paraId="299F0F17" w14:textId="77777777" w:rsidR="009925C1" w:rsidRPr="00385384" w:rsidRDefault="009925C1" w:rsidP="00D23258">
                              <w:pPr>
                                <w:rPr>
                                  <w:rFonts w:cs="Tahoma"/>
                                </w:rPr>
                              </w:pPr>
                              <w:r w:rsidRPr="00385384">
                                <w:rPr>
                                  <w:rFonts w:cs="Tahoma"/>
                                </w:rPr>
                                <w:t>5%</w:t>
                              </w:r>
                            </w:p>
                          </w:tc>
                        </w:tr>
                        <w:tr w:rsidR="009925C1" w:rsidRPr="00CB687E" w14:paraId="540ADD7F" w14:textId="77777777" w:rsidTr="00D23258">
                          <w:trPr>
                            <w:trHeight w:val="290"/>
                          </w:trPr>
                          <w:tc>
                            <w:tcPr>
                              <w:tcW w:w="2547" w:type="dxa"/>
                              <w:tcBorders>
                                <w:right w:val="single" w:sz="24" w:space="0" w:color="auto"/>
                              </w:tcBorders>
                              <w:noWrap/>
                              <w:vAlign w:val="center"/>
                              <w:hideMark/>
                            </w:tcPr>
                            <w:p w14:paraId="2574D2E9" w14:textId="77777777" w:rsidR="009925C1" w:rsidRPr="00385384" w:rsidRDefault="009925C1" w:rsidP="00D23258">
                              <w:pPr>
                                <w:rPr>
                                  <w:rFonts w:cs="Tahoma"/>
                                </w:rPr>
                              </w:pPr>
                              <w:r w:rsidRPr="00385384">
                                <w:rPr>
                                  <w:rFonts w:cs="Tahoma"/>
                                </w:rPr>
                                <w:t>Gender Expression</w:t>
                              </w:r>
                            </w:p>
                          </w:tc>
                          <w:tc>
                            <w:tcPr>
                              <w:tcW w:w="1276" w:type="dxa"/>
                              <w:tcBorders>
                                <w:left w:val="single" w:sz="24" w:space="0" w:color="auto"/>
                              </w:tcBorders>
                              <w:vAlign w:val="center"/>
                              <w:hideMark/>
                            </w:tcPr>
                            <w:p w14:paraId="0DCC0040" w14:textId="77777777" w:rsidR="009925C1" w:rsidRPr="00385384" w:rsidRDefault="009925C1" w:rsidP="00D23258">
                              <w:pPr>
                                <w:rPr>
                                  <w:rFonts w:cs="Tahoma"/>
                                </w:rPr>
                              </w:pPr>
                              <w:r w:rsidRPr="00385384">
                                <w:rPr>
                                  <w:rFonts w:cs="Tahoma"/>
                                </w:rPr>
                                <w:t>312</w:t>
                              </w:r>
                            </w:p>
                          </w:tc>
                          <w:tc>
                            <w:tcPr>
                              <w:tcW w:w="1701" w:type="dxa"/>
                              <w:vAlign w:val="center"/>
                            </w:tcPr>
                            <w:p w14:paraId="6632554A" w14:textId="77777777" w:rsidR="009925C1" w:rsidRPr="00385384" w:rsidRDefault="009925C1" w:rsidP="00D23258">
                              <w:pPr>
                                <w:rPr>
                                  <w:rFonts w:cs="Tahoma"/>
                                </w:rPr>
                              </w:pPr>
                              <w:r w:rsidRPr="00385384">
                                <w:rPr>
                                  <w:rFonts w:cs="Tahoma"/>
                                </w:rPr>
                                <w:t>1.3%</w:t>
                              </w:r>
                            </w:p>
                          </w:tc>
                          <w:tc>
                            <w:tcPr>
                              <w:tcW w:w="1701" w:type="dxa"/>
                              <w:vAlign w:val="center"/>
                            </w:tcPr>
                            <w:p w14:paraId="33FEE102" w14:textId="77777777" w:rsidR="009925C1" w:rsidRPr="00385384" w:rsidRDefault="009925C1" w:rsidP="00D23258">
                              <w:pPr>
                                <w:rPr>
                                  <w:rFonts w:cs="Tahoma"/>
                                </w:rPr>
                              </w:pPr>
                              <w:r w:rsidRPr="00385384">
                                <w:rPr>
                                  <w:rFonts w:cs="Tahoma"/>
                                </w:rPr>
                                <w:t>6%</w:t>
                              </w:r>
                            </w:p>
                          </w:tc>
                        </w:tr>
                        <w:tr w:rsidR="009925C1" w:rsidRPr="00CB687E" w14:paraId="3FC1F2D2" w14:textId="77777777" w:rsidTr="00D23258">
                          <w:trPr>
                            <w:trHeight w:val="290"/>
                          </w:trPr>
                          <w:tc>
                            <w:tcPr>
                              <w:tcW w:w="2547" w:type="dxa"/>
                              <w:tcBorders>
                                <w:right w:val="single" w:sz="24" w:space="0" w:color="auto"/>
                              </w:tcBorders>
                              <w:noWrap/>
                              <w:vAlign w:val="center"/>
                              <w:hideMark/>
                            </w:tcPr>
                            <w:p w14:paraId="3FE02DD3" w14:textId="77777777" w:rsidR="009925C1" w:rsidRPr="00385384" w:rsidRDefault="009925C1" w:rsidP="00D23258">
                              <w:pPr>
                                <w:rPr>
                                  <w:rFonts w:cs="Tahoma"/>
                                </w:rPr>
                              </w:pPr>
                              <w:r w:rsidRPr="00385384">
                                <w:rPr>
                                  <w:rFonts w:cs="Tahoma"/>
                                </w:rPr>
                                <w:t>Marital Status</w:t>
                              </w:r>
                            </w:p>
                          </w:tc>
                          <w:tc>
                            <w:tcPr>
                              <w:tcW w:w="1276" w:type="dxa"/>
                              <w:tcBorders>
                                <w:left w:val="single" w:sz="24" w:space="0" w:color="auto"/>
                              </w:tcBorders>
                              <w:vAlign w:val="center"/>
                              <w:hideMark/>
                            </w:tcPr>
                            <w:p w14:paraId="164AC595" w14:textId="77777777" w:rsidR="009925C1" w:rsidRPr="00385384" w:rsidRDefault="009925C1" w:rsidP="00D23258">
                              <w:pPr>
                                <w:rPr>
                                  <w:rFonts w:cs="Tahoma"/>
                                </w:rPr>
                              </w:pPr>
                              <w:r w:rsidRPr="00385384">
                                <w:rPr>
                                  <w:rFonts w:cs="Tahoma"/>
                                </w:rPr>
                                <w:t>292</w:t>
                              </w:r>
                            </w:p>
                          </w:tc>
                          <w:tc>
                            <w:tcPr>
                              <w:tcW w:w="1701" w:type="dxa"/>
                              <w:vAlign w:val="center"/>
                            </w:tcPr>
                            <w:p w14:paraId="4D8A9502" w14:textId="77777777" w:rsidR="009925C1" w:rsidRPr="00385384" w:rsidRDefault="009925C1" w:rsidP="00D23258">
                              <w:pPr>
                                <w:rPr>
                                  <w:rFonts w:cs="Tahoma"/>
                                </w:rPr>
                              </w:pPr>
                              <w:r w:rsidRPr="00385384">
                                <w:rPr>
                                  <w:rFonts w:cs="Tahoma"/>
                                </w:rPr>
                                <w:t>1.2%</w:t>
                              </w:r>
                            </w:p>
                          </w:tc>
                          <w:tc>
                            <w:tcPr>
                              <w:tcW w:w="1701" w:type="dxa"/>
                              <w:vAlign w:val="center"/>
                            </w:tcPr>
                            <w:p w14:paraId="58834A30" w14:textId="77777777" w:rsidR="009925C1" w:rsidRPr="00385384" w:rsidRDefault="009925C1" w:rsidP="00D23258">
                              <w:pPr>
                                <w:rPr>
                                  <w:rFonts w:cs="Tahoma"/>
                                </w:rPr>
                              </w:pPr>
                              <w:r w:rsidRPr="00385384">
                                <w:rPr>
                                  <w:rFonts w:cs="Tahoma"/>
                                </w:rPr>
                                <w:t>6%</w:t>
                              </w:r>
                            </w:p>
                          </w:tc>
                        </w:tr>
                        <w:tr w:rsidR="009925C1" w:rsidRPr="00CB687E" w14:paraId="08F61AE4" w14:textId="77777777" w:rsidTr="00D23258">
                          <w:trPr>
                            <w:trHeight w:val="290"/>
                          </w:trPr>
                          <w:tc>
                            <w:tcPr>
                              <w:tcW w:w="2547" w:type="dxa"/>
                              <w:tcBorders>
                                <w:right w:val="single" w:sz="24" w:space="0" w:color="auto"/>
                              </w:tcBorders>
                              <w:noWrap/>
                              <w:vAlign w:val="center"/>
                              <w:hideMark/>
                            </w:tcPr>
                            <w:p w14:paraId="0E8D44E6" w14:textId="77777777" w:rsidR="009925C1" w:rsidRPr="00385384" w:rsidRDefault="009925C1" w:rsidP="00D23258">
                              <w:pPr>
                                <w:rPr>
                                  <w:rFonts w:cs="Tahoma"/>
                                </w:rPr>
                              </w:pPr>
                              <w:r w:rsidRPr="00385384">
                                <w:rPr>
                                  <w:rFonts w:cs="Tahoma"/>
                                </w:rPr>
                                <w:t>Receipt of Public Assistance (in housing)</w:t>
                              </w:r>
                            </w:p>
                          </w:tc>
                          <w:tc>
                            <w:tcPr>
                              <w:tcW w:w="1276" w:type="dxa"/>
                              <w:tcBorders>
                                <w:left w:val="single" w:sz="24" w:space="0" w:color="auto"/>
                              </w:tcBorders>
                              <w:vAlign w:val="center"/>
                              <w:hideMark/>
                            </w:tcPr>
                            <w:p w14:paraId="5C98E087" w14:textId="77777777" w:rsidR="009925C1" w:rsidRPr="00385384" w:rsidRDefault="009925C1" w:rsidP="00D23258">
                              <w:pPr>
                                <w:rPr>
                                  <w:rFonts w:cs="Tahoma"/>
                                </w:rPr>
                              </w:pPr>
                              <w:r w:rsidRPr="00385384">
                                <w:rPr>
                                  <w:rFonts w:cs="Tahoma"/>
                                </w:rPr>
                                <w:t>286</w:t>
                              </w:r>
                            </w:p>
                          </w:tc>
                          <w:tc>
                            <w:tcPr>
                              <w:tcW w:w="1701" w:type="dxa"/>
                              <w:vAlign w:val="center"/>
                            </w:tcPr>
                            <w:p w14:paraId="6FEA84FD" w14:textId="77777777" w:rsidR="009925C1" w:rsidRPr="00385384" w:rsidRDefault="009925C1" w:rsidP="00D23258">
                              <w:pPr>
                                <w:rPr>
                                  <w:rFonts w:cs="Tahoma"/>
                                </w:rPr>
                              </w:pPr>
                              <w:r w:rsidRPr="00385384">
                                <w:rPr>
                                  <w:rFonts w:cs="Tahoma"/>
                                </w:rPr>
                                <w:t>1.2%</w:t>
                              </w:r>
                            </w:p>
                          </w:tc>
                          <w:tc>
                            <w:tcPr>
                              <w:tcW w:w="1701" w:type="dxa"/>
                              <w:vAlign w:val="center"/>
                            </w:tcPr>
                            <w:p w14:paraId="12FCD7F9" w14:textId="77777777" w:rsidR="009925C1" w:rsidRPr="00385384" w:rsidRDefault="009925C1" w:rsidP="00D23258">
                              <w:pPr>
                                <w:rPr>
                                  <w:rFonts w:cs="Tahoma"/>
                                </w:rPr>
                              </w:pPr>
                              <w:r w:rsidRPr="00385384">
                                <w:rPr>
                                  <w:rFonts w:cs="Tahoma"/>
                                </w:rPr>
                                <w:t>2%</w:t>
                              </w:r>
                            </w:p>
                          </w:tc>
                        </w:tr>
                        <w:tr w:rsidR="009925C1" w:rsidRPr="00CB687E" w14:paraId="57CDFF51" w14:textId="77777777" w:rsidTr="00D23258">
                          <w:trPr>
                            <w:trHeight w:val="290"/>
                          </w:trPr>
                          <w:tc>
                            <w:tcPr>
                              <w:tcW w:w="2547" w:type="dxa"/>
                              <w:tcBorders>
                                <w:right w:val="single" w:sz="24" w:space="0" w:color="auto"/>
                              </w:tcBorders>
                              <w:noWrap/>
                              <w:vAlign w:val="center"/>
                              <w:hideMark/>
                            </w:tcPr>
                            <w:p w14:paraId="64724F7A" w14:textId="77777777" w:rsidR="009925C1" w:rsidRPr="00385384" w:rsidRDefault="009925C1" w:rsidP="00D23258">
                              <w:pPr>
                                <w:rPr>
                                  <w:rFonts w:cs="Tahoma"/>
                                </w:rPr>
                              </w:pPr>
                              <w:r w:rsidRPr="00385384">
                                <w:rPr>
                                  <w:rFonts w:cs="Tahoma"/>
                                </w:rPr>
                                <w:t xml:space="preserve">Record of Offences (in employment) </w:t>
                              </w:r>
                            </w:p>
                          </w:tc>
                          <w:tc>
                            <w:tcPr>
                              <w:tcW w:w="1276" w:type="dxa"/>
                              <w:tcBorders>
                                <w:left w:val="single" w:sz="24" w:space="0" w:color="auto"/>
                              </w:tcBorders>
                              <w:vAlign w:val="center"/>
                              <w:hideMark/>
                            </w:tcPr>
                            <w:p w14:paraId="105FF36F" w14:textId="77777777" w:rsidR="009925C1" w:rsidRPr="00385384" w:rsidRDefault="009925C1" w:rsidP="00D23258">
                              <w:pPr>
                                <w:rPr>
                                  <w:rFonts w:cs="Tahoma"/>
                                </w:rPr>
                              </w:pPr>
                              <w:r w:rsidRPr="00385384">
                                <w:rPr>
                                  <w:rFonts w:cs="Tahoma"/>
                                </w:rPr>
                                <w:t>109</w:t>
                              </w:r>
                            </w:p>
                          </w:tc>
                          <w:tc>
                            <w:tcPr>
                              <w:tcW w:w="1701" w:type="dxa"/>
                              <w:vAlign w:val="center"/>
                            </w:tcPr>
                            <w:p w14:paraId="4C0AA351" w14:textId="77777777" w:rsidR="009925C1" w:rsidRPr="00385384" w:rsidRDefault="009925C1" w:rsidP="00D23258">
                              <w:pPr>
                                <w:rPr>
                                  <w:rFonts w:cs="Tahoma"/>
                                </w:rPr>
                              </w:pPr>
                              <w:r w:rsidRPr="00385384">
                                <w:rPr>
                                  <w:rFonts w:cs="Tahoma"/>
                                </w:rPr>
                                <w:t>0.4%</w:t>
                              </w:r>
                            </w:p>
                          </w:tc>
                          <w:tc>
                            <w:tcPr>
                              <w:tcW w:w="1701" w:type="dxa"/>
                              <w:vAlign w:val="center"/>
                            </w:tcPr>
                            <w:p w14:paraId="4F284AE4" w14:textId="77777777" w:rsidR="009925C1" w:rsidRPr="00385384" w:rsidRDefault="009925C1" w:rsidP="00D23258">
                              <w:pPr>
                                <w:rPr>
                                  <w:rFonts w:cs="Tahoma"/>
                                </w:rPr>
                              </w:pPr>
                              <w:r w:rsidRPr="00385384">
                                <w:rPr>
                                  <w:rFonts w:cs="Tahoma"/>
                                </w:rPr>
                                <w:t>1%</w:t>
                              </w:r>
                            </w:p>
                          </w:tc>
                        </w:tr>
                      </w:tbl>
                      <w:p w14:paraId="496C67A6" w14:textId="4720CB8C" w:rsidR="009925C1" w:rsidRPr="00F30540" w:rsidRDefault="00F30540" w:rsidP="009925C1">
                        <w:r w:rsidRPr="00F30540">
                          <w:rPr>
                            <w:rFonts w:eastAsiaTheme="minorEastAsia" w:cs="Tahoma"/>
                          </w:rPr>
                          <w:t>*Calculated based on a total of 24,426 inquiries; some i</w:t>
                        </w:r>
                        <w:r w:rsidRPr="00F30540">
                          <w:rPr>
                            <w:rFonts w:cs="Tahoma"/>
                          </w:rPr>
                          <w:t>ntake calls cite discrimination on more than one ground, so the total exceeds 100%.</w:t>
                        </w:r>
                      </w:p>
                    </w:txbxContent>
                  </v:textbox>
                </v:shape>
                <v:shape id="Text Box 4" o:spid="_x0000_s1033" type="#_x0000_t202" style="position:absolute;left:48003;width:39076;height:27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" fillcolor="white [3201]" strokecolor="white [3212]" strokeweight=".5pt">
                  <v:textbox>
                    <w:txbxContent>
                      <w:tbl>
                        <w:tblPr>
                          <w:tblStyle w:val="TableGrid"/>
                          <w:tblW w:w="0" w:type="auto"/>
                          <w:tblLook w:val="04A0" w:firstRow="1" w:lastRow="0" w:firstColumn="1" w:lastColumn="0" w:noHBand="0" w:noVBand="1"/>
                        </w:tblPr>
                        <w:tblGrid>
                          <w:gridCol w:w="3055"/>
                          <w:gridCol w:w="1401"/>
                          <w:gridCol w:w="1390"/>
                        </w:tblGrid>
                        <w:tr w:rsidR="009925C1" w:rsidRPr="00CB687E" w14:paraId="1DA048D3" w14:textId="77777777" w:rsidTr="00F30540">
                          <w:tc>
                            <w:tcPr>
                              <w:tcW w:w="3055" w:type="dxa"/>
                              <w:tcBorders>
                                <w:bottom w:val="single" w:sz="48" w:space="0" w:color="auto"/>
                              </w:tcBorders>
                              <w:shd w:val="clear" w:color="auto" w:fill="E8E8E8" w:themeFill="background2"/>
                              <w:vAlign w:val="center"/>
                            </w:tcPr>
                            <w:p w14:paraId="1B08F168" w14:textId="77777777" w:rsidR="009925C1" w:rsidRPr="00D23258" w:rsidRDefault="009925C1" w:rsidP="00D23258">
                              <w:pPr>
                                <w:rPr>
                                  <w:rFonts w:ascii="Arial" w:hAnsi="Arial" w:cs="Arial"/>
                                  <w:b/>
                                </w:rPr>
                              </w:pPr>
                              <w:r w:rsidRPr="00D23258">
                                <w:rPr>
                                  <w:b/>
                                </w:rPr>
                                <w:t>Disability Related Sub-Grounds</w:t>
                              </w:r>
                              <w:r>
                                <w:rPr>
                                  <w:b/>
                                </w:rPr>
                                <w:t xml:space="preserve"> </w:t>
                              </w:r>
                              <w:r w:rsidRPr="00CB687E">
                                <w:rPr>
                                  <w:b/>
                                </w:rPr>
                                <w:t>Per 1,000 Inquiries – 2024</w:t>
                              </w:r>
                              <w:r w:rsidRPr="00910598">
                                <w:rPr>
                                  <w:b/>
                                </w:rPr>
                                <w:t>–</w:t>
                              </w:r>
                              <w:r>
                                <w:rPr>
                                  <w:b/>
                                </w:rPr>
                                <w:t>20</w:t>
                              </w:r>
                              <w:r w:rsidRPr="00CB687E">
                                <w:rPr>
                                  <w:b/>
                                </w:rPr>
                                <w:t>25</w:t>
                              </w:r>
                            </w:p>
                          </w:tc>
                          <w:tc>
                            <w:tcPr>
                              <w:tcW w:w="1401" w:type="dxa"/>
                              <w:tcBorders>
                                <w:bottom w:val="single" w:sz="48" w:space="0" w:color="auto"/>
                              </w:tcBorders>
                              <w:shd w:val="clear" w:color="auto" w:fill="E8E8E8" w:themeFill="background2"/>
                              <w:vAlign w:val="center"/>
                            </w:tcPr>
                            <w:p w14:paraId="4121DBA7" w14:textId="77777777" w:rsidR="009925C1" w:rsidRPr="00E77DE9" w:rsidRDefault="009925C1" w:rsidP="00D23258">
                              <w:pPr>
                                <w:rPr>
                                  <w:rFonts w:cs="Tahoma"/>
                                  <w:b/>
                                </w:rPr>
                              </w:pPr>
                              <w:r w:rsidRPr="00E77DE9">
                                <w:rPr>
                                  <w:rFonts w:cs="Tahoma"/>
                                  <w:b/>
                                </w:rPr>
                                <w:t># of reports noted in inquires</w:t>
                              </w:r>
                            </w:p>
                          </w:tc>
                          <w:tc>
                            <w:tcPr>
                              <w:tcW w:w="1390" w:type="dxa"/>
                              <w:tcBorders>
                                <w:bottom w:val="single" w:sz="48" w:space="0" w:color="auto"/>
                              </w:tcBorders>
                              <w:shd w:val="clear" w:color="auto" w:fill="E8E8E8" w:themeFill="background2"/>
                              <w:vAlign w:val="center"/>
                            </w:tcPr>
                            <w:p w14:paraId="4AF46A56" w14:textId="1A760744" w:rsidR="009925C1" w:rsidRPr="00E77DE9" w:rsidRDefault="009925C1" w:rsidP="00D23258">
                              <w:pPr>
                                <w:rPr>
                                  <w:rFonts w:cs="Tahoma"/>
                                  <w:b/>
                                </w:rPr>
                              </w:pPr>
                              <w:r w:rsidRPr="00E77DE9">
                                <w:rPr>
                                  <w:rFonts w:cs="Tahoma"/>
                                  <w:b/>
                                </w:rPr>
                                <w:t>% of intakes citing sub-ground*</w:t>
                              </w:r>
                              <w:r w:rsidR="00F30540">
                                <w:rPr>
                                  <w:rFonts w:cs="Tahoma"/>
                                  <w:b/>
                                </w:rPr>
                                <w:t>*</w:t>
                              </w:r>
                            </w:p>
                          </w:tc>
                        </w:tr>
                        <w:tr w:rsidR="009925C1" w:rsidRPr="00CB687E" w14:paraId="0C569FD1" w14:textId="77777777" w:rsidTr="00F30540">
                          <w:tc>
                            <w:tcPr>
                              <w:tcW w:w="3055" w:type="dxa"/>
                              <w:tcBorders>
                                <w:top w:val="single" w:sz="48" w:space="0" w:color="auto"/>
                                <w:right w:val="single" w:sz="24" w:space="0" w:color="auto"/>
                              </w:tcBorders>
                              <w:vAlign w:val="center"/>
                            </w:tcPr>
                            <w:p w14:paraId="2916897D" w14:textId="77777777" w:rsidR="009925C1" w:rsidRPr="00FB7D91" w:rsidRDefault="009925C1" w:rsidP="00D23258">
                              <w:pPr>
                                <w:rPr>
                                  <w:rFonts w:cs="Tahoma"/>
                                </w:rPr>
                              </w:pPr>
                              <w:r w:rsidRPr="00FB7D91">
                                <w:rPr>
                                  <w:rFonts w:cs="Tahoma"/>
                                </w:rPr>
                                <w:t>Disability or Perceived Disability - Physical</w:t>
                              </w:r>
                            </w:p>
                          </w:tc>
                          <w:tc>
                            <w:tcPr>
                              <w:tcW w:w="1401" w:type="dxa"/>
                              <w:tcBorders>
                                <w:top w:val="single" w:sz="48" w:space="0" w:color="auto"/>
                                <w:left w:val="single" w:sz="24" w:space="0" w:color="auto"/>
                              </w:tcBorders>
                              <w:vAlign w:val="center"/>
                            </w:tcPr>
                            <w:p w14:paraId="60A55B26" w14:textId="77777777" w:rsidR="009925C1" w:rsidRPr="00FB7D91" w:rsidRDefault="009925C1" w:rsidP="00D23258">
                              <w:pPr>
                                <w:rPr>
                                  <w:rFonts w:cs="Tahoma"/>
                                </w:rPr>
                              </w:pPr>
                              <w:r w:rsidRPr="00FB7D91">
                                <w:rPr>
                                  <w:rFonts w:cs="Tahoma"/>
                                </w:rPr>
                                <w:t>8048</w:t>
                              </w:r>
                            </w:p>
                          </w:tc>
                          <w:tc>
                            <w:tcPr>
                              <w:tcW w:w="1390" w:type="dxa"/>
                              <w:tcBorders>
                                <w:top w:val="single" w:sz="48" w:space="0" w:color="auto"/>
                              </w:tcBorders>
                              <w:vAlign w:val="center"/>
                            </w:tcPr>
                            <w:p w14:paraId="42A6995F" w14:textId="77777777" w:rsidR="009925C1" w:rsidRPr="00FB7D91" w:rsidRDefault="009925C1" w:rsidP="00D23258">
                              <w:pPr>
                                <w:rPr>
                                  <w:rFonts w:cs="Tahoma"/>
                                </w:rPr>
                              </w:pPr>
                              <w:r w:rsidRPr="00FB7D91">
                                <w:rPr>
                                  <w:rFonts w:cs="Tahoma"/>
                                </w:rPr>
                                <w:t>33%</w:t>
                              </w:r>
                            </w:p>
                          </w:tc>
                        </w:tr>
                        <w:tr w:rsidR="009925C1" w:rsidRPr="00CB687E" w14:paraId="1D88BA39" w14:textId="77777777" w:rsidTr="00F30540">
                          <w:tc>
                            <w:tcPr>
                              <w:tcW w:w="3055" w:type="dxa"/>
                              <w:tcBorders>
                                <w:right w:val="single" w:sz="24" w:space="0" w:color="auto"/>
                              </w:tcBorders>
                              <w:vAlign w:val="center"/>
                            </w:tcPr>
                            <w:p w14:paraId="723DC148" w14:textId="77777777" w:rsidR="009925C1" w:rsidRPr="00FB7D91" w:rsidRDefault="009925C1" w:rsidP="00D23258">
                              <w:pPr>
                                <w:rPr>
                                  <w:rFonts w:cs="Tahoma"/>
                                </w:rPr>
                              </w:pPr>
                              <w:r w:rsidRPr="00FB7D91">
                                <w:rPr>
                                  <w:rFonts w:cs="Tahoma"/>
                                </w:rPr>
                                <w:t>Disability or Perceived Disability - Mental/Emotional</w:t>
                              </w:r>
                            </w:p>
                          </w:tc>
                          <w:tc>
                            <w:tcPr>
                              <w:tcW w:w="1401" w:type="dxa"/>
                              <w:tcBorders>
                                <w:left w:val="single" w:sz="24" w:space="0" w:color="auto"/>
                              </w:tcBorders>
                              <w:vAlign w:val="center"/>
                            </w:tcPr>
                            <w:p w14:paraId="462CD560" w14:textId="77777777" w:rsidR="009925C1" w:rsidRPr="00FB7D91" w:rsidRDefault="009925C1" w:rsidP="00D23258">
                              <w:pPr>
                                <w:rPr>
                                  <w:rFonts w:cs="Tahoma"/>
                                </w:rPr>
                              </w:pPr>
                              <w:r w:rsidRPr="00FB7D91">
                                <w:rPr>
                                  <w:rFonts w:cs="Tahoma"/>
                                </w:rPr>
                                <w:t>5922</w:t>
                              </w:r>
                            </w:p>
                          </w:tc>
                          <w:tc>
                            <w:tcPr>
                              <w:tcW w:w="1390" w:type="dxa"/>
                              <w:vAlign w:val="center"/>
                            </w:tcPr>
                            <w:p w14:paraId="4102A535" w14:textId="77777777" w:rsidR="009925C1" w:rsidRPr="00FB7D91" w:rsidRDefault="009925C1" w:rsidP="00D23258">
                              <w:pPr>
                                <w:rPr>
                                  <w:rFonts w:cs="Tahoma"/>
                                </w:rPr>
                              </w:pPr>
                              <w:r w:rsidRPr="00FB7D91">
                                <w:rPr>
                                  <w:rFonts w:cs="Tahoma"/>
                                </w:rPr>
                                <w:t>24%</w:t>
                              </w:r>
                            </w:p>
                          </w:tc>
                        </w:tr>
                        <w:tr w:rsidR="009925C1" w:rsidRPr="00CB687E" w14:paraId="69EE7E11" w14:textId="77777777" w:rsidTr="00F30540">
                          <w:tc>
                            <w:tcPr>
                              <w:tcW w:w="3055" w:type="dxa"/>
                              <w:tcBorders>
                                <w:right w:val="single" w:sz="24" w:space="0" w:color="auto"/>
                              </w:tcBorders>
                              <w:vAlign w:val="center"/>
                            </w:tcPr>
                            <w:p w14:paraId="215CD9A0" w14:textId="77777777" w:rsidR="009925C1" w:rsidRPr="00FB7D91" w:rsidRDefault="009925C1" w:rsidP="00D23258">
                              <w:pPr>
                                <w:rPr>
                                  <w:rFonts w:cs="Tahoma"/>
                                </w:rPr>
                              </w:pPr>
                              <w:r w:rsidRPr="00FB7D91">
                                <w:rPr>
                                  <w:rFonts w:cs="Tahoma"/>
                                </w:rPr>
                                <w:t>Disability or Perceived Disability - Intellectual/Developmental</w:t>
                              </w:r>
                            </w:p>
                          </w:tc>
                          <w:tc>
                            <w:tcPr>
                              <w:tcW w:w="1401" w:type="dxa"/>
                              <w:tcBorders>
                                <w:left w:val="single" w:sz="24" w:space="0" w:color="auto"/>
                              </w:tcBorders>
                              <w:vAlign w:val="center"/>
                            </w:tcPr>
                            <w:p w14:paraId="02159C75" w14:textId="77777777" w:rsidR="009925C1" w:rsidRPr="00FB7D91" w:rsidRDefault="009925C1" w:rsidP="00D23258">
                              <w:pPr>
                                <w:rPr>
                                  <w:rFonts w:cs="Tahoma"/>
                                </w:rPr>
                              </w:pPr>
                              <w:r w:rsidRPr="00FB7D91">
                                <w:rPr>
                                  <w:rFonts w:cs="Tahoma"/>
                                </w:rPr>
                                <w:t>1713</w:t>
                              </w:r>
                            </w:p>
                          </w:tc>
                          <w:tc>
                            <w:tcPr>
                              <w:tcW w:w="1390" w:type="dxa"/>
                              <w:vAlign w:val="center"/>
                            </w:tcPr>
                            <w:p w14:paraId="121FD301" w14:textId="77777777" w:rsidR="009925C1" w:rsidRPr="00FB7D91" w:rsidRDefault="009925C1" w:rsidP="00D23258">
                              <w:pPr>
                                <w:rPr>
                                  <w:rFonts w:cs="Tahoma"/>
                                </w:rPr>
                              </w:pPr>
                              <w:r w:rsidRPr="00FB7D91">
                                <w:rPr>
                                  <w:rFonts w:cs="Tahoma"/>
                                </w:rPr>
                                <w:t>7%</w:t>
                              </w:r>
                            </w:p>
                          </w:tc>
                        </w:tr>
                      </w:tbl>
                      <w:p w14:paraId="461C1CCE" w14:textId="2ECB7A71" w:rsidR="009925C1" w:rsidRPr="00D23258" w:rsidRDefault="00F30540" w:rsidP="00D4439A">
                        <w:r>
                          <w:rPr>
                            <w:rFonts w:cs="Tahoma"/>
                          </w:rPr>
                          <w:t>**</w:t>
                        </w:r>
                        <w:r w:rsidRPr="00FB7D91">
                          <w:rPr>
                            <w:rFonts w:cs="Tahoma"/>
                          </w:rPr>
                          <w:t>Calculated based on a total of 24,426 inquiries</w:t>
                        </w:r>
                      </w:p>
                    </w:txbxContent>
                  </v:textbox>
                </v:shape>
                <v:shape id="Text Box 4" o:spid="_x0000_s1034" type="#_x0000_t202" style="position:absolute;left:48003;top:28866;width:39076;height:32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" fillcolor="white [3201]" strokecolor="white [3212]" strokeweight=".5pt">
                  <v:textbox>
                    <w:txbxContent>
                      <w:tbl>
                        <w:tblPr>
                          <w:tblStyle w:val="TableGrid"/>
                          <w:tblW w:w="0" w:type="auto"/>
                          <w:tblLook w:val="04A0" w:firstRow="1" w:lastRow="0" w:firstColumn="1" w:lastColumn="0" w:noHBand="0" w:noVBand="1"/>
                        </w:tblPr>
                        <w:tblGrid>
                          <w:gridCol w:w="2233"/>
                          <w:gridCol w:w="1811"/>
                          <w:gridCol w:w="1801"/>
                        </w:tblGrid>
                        <w:tr w:rsidR="009925C1" w:rsidRPr="00CB687E" w14:paraId="494EB0E1" w14:textId="77777777" w:rsidTr="00A57F14">
                          <w:tc>
                            <w:tcPr>
                              <w:tcW w:w="2233" w:type="dxa"/>
                              <w:tcBorders>
                                <w:bottom w:val="single" w:sz="48" w:space="0" w:color="auto"/>
                              </w:tcBorders>
                              <w:shd w:val="clear" w:color="auto" w:fill="E8E8E8" w:themeFill="background2"/>
                              <w:vAlign w:val="center"/>
                            </w:tcPr>
                            <w:p w14:paraId="3F89ECC4" w14:textId="77777777" w:rsidR="009925C1" w:rsidRPr="00385384" w:rsidRDefault="009925C1" w:rsidP="00D23258">
                              <w:pPr>
                                <w:rPr>
                                  <w:rFonts w:cs="Tahoma"/>
                                  <w:b/>
                                  <w:bCs/>
                                </w:rPr>
                              </w:pPr>
                              <w:r w:rsidRPr="00385384">
                                <w:rPr>
                                  <w:rFonts w:cs="Tahoma"/>
                                  <w:b/>
                                  <w:bCs/>
                                </w:rPr>
                                <w:t>Race-Related Sub-Grounds Per 1,000 Inquiries – 2024–2025</w:t>
                              </w:r>
                            </w:p>
                          </w:tc>
                          <w:tc>
                            <w:tcPr>
                              <w:tcW w:w="1811" w:type="dxa"/>
                              <w:tcBorders>
                                <w:bottom w:val="single" w:sz="48" w:space="0" w:color="auto"/>
                              </w:tcBorders>
                              <w:shd w:val="clear" w:color="auto" w:fill="E8E8E8" w:themeFill="background2"/>
                              <w:vAlign w:val="center"/>
                            </w:tcPr>
                            <w:p w14:paraId="294D048E" w14:textId="77777777" w:rsidR="009925C1" w:rsidRPr="00385384" w:rsidRDefault="009925C1" w:rsidP="00D23258">
                              <w:pPr>
                                <w:rPr>
                                  <w:rFonts w:cs="Tahoma"/>
                                  <w:b/>
                                  <w:bCs/>
                                </w:rPr>
                              </w:pPr>
                              <w:r w:rsidRPr="00385384">
                                <w:rPr>
                                  <w:rFonts w:cs="Tahoma"/>
                                  <w:b/>
                                  <w:bCs/>
                                </w:rPr>
                                <w:t># of reports noted in inquires</w:t>
                              </w:r>
                            </w:p>
                          </w:tc>
                          <w:tc>
                            <w:tcPr>
                              <w:tcW w:w="1801" w:type="dxa"/>
                              <w:tcBorders>
                                <w:bottom w:val="single" w:sz="48" w:space="0" w:color="auto"/>
                              </w:tcBorders>
                              <w:shd w:val="clear" w:color="auto" w:fill="E8E8E8" w:themeFill="background2"/>
                              <w:vAlign w:val="center"/>
                            </w:tcPr>
                            <w:p w14:paraId="0AB47DE7" w14:textId="7E04277F" w:rsidR="009925C1" w:rsidRPr="00385384" w:rsidRDefault="009925C1" w:rsidP="00D23258">
                              <w:pPr>
                                <w:rPr>
                                  <w:rFonts w:cs="Tahoma"/>
                                  <w:b/>
                                  <w:bCs/>
                                </w:rPr>
                              </w:pPr>
                              <w:r w:rsidRPr="00385384">
                                <w:rPr>
                                  <w:rFonts w:cs="Tahoma"/>
                                  <w:b/>
                                  <w:bCs/>
                                </w:rPr>
                                <w:t>% of intakes citing sub-ground*</w:t>
                              </w:r>
                              <w:r w:rsidR="00F30540">
                                <w:rPr>
                                  <w:rFonts w:cs="Tahoma"/>
                                  <w:b/>
                                  <w:bCs/>
                                </w:rPr>
                                <w:t>*</w:t>
                              </w:r>
                              <w:r w:rsidR="00F30540">
                                <w:rPr>
                                  <w:b/>
                                  <w:bCs/>
                                </w:rPr>
                                <w:t>*</w:t>
                              </w:r>
                            </w:p>
                          </w:tc>
                        </w:tr>
                        <w:tr w:rsidR="009925C1" w:rsidRPr="00CB687E" w14:paraId="53F40608" w14:textId="77777777" w:rsidTr="00A57F14">
                          <w:tc>
                            <w:tcPr>
                              <w:tcW w:w="2233" w:type="dxa"/>
                              <w:tcBorders>
                                <w:top w:val="single" w:sz="48" w:space="0" w:color="auto"/>
                                <w:right w:val="single" w:sz="24" w:space="0" w:color="auto"/>
                              </w:tcBorders>
                              <w:vAlign w:val="center"/>
                            </w:tcPr>
                            <w:p w14:paraId="6AE476C9" w14:textId="77777777" w:rsidR="009925C1" w:rsidRPr="00385384" w:rsidRDefault="009925C1" w:rsidP="00D23258">
                              <w:pPr>
                                <w:rPr>
                                  <w:rFonts w:cs="Tahoma"/>
                                </w:rPr>
                              </w:pPr>
                              <w:r w:rsidRPr="00385384">
                                <w:rPr>
                                  <w:rFonts w:cs="Tahoma"/>
                                </w:rPr>
                                <w:t>Anti-Black Racism</w:t>
                              </w:r>
                            </w:p>
                          </w:tc>
                          <w:tc>
                            <w:tcPr>
                              <w:tcW w:w="1811" w:type="dxa"/>
                              <w:tcBorders>
                                <w:top w:val="single" w:sz="48" w:space="0" w:color="auto"/>
                                <w:left w:val="single" w:sz="24" w:space="0" w:color="auto"/>
                              </w:tcBorders>
                              <w:vAlign w:val="center"/>
                            </w:tcPr>
                            <w:p w14:paraId="59ADEF0F" w14:textId="77777777" w:rsidR="009925C1" w:rsidRPr="00385384" w:rsidRDefault="009925C1" w:rsidP="00D23258">
                              <w:pPr>
                                <w:rPr>
                                  <w:rFonts w:cs="Tahoma"/>
                                </w:rPr>
                              </w:pPr>
                              <w:r w:rsidRPr="00385384">
                                <w:rPr>
                                  <w:rFonts w:cs="Tahoma"/>
                                </w:rPr>
                                <w:t>1463</w:t>
                              </w:r>
                            </w:p>
                          </w:tc>
                          <w:tc>
                            <w:tcPr>
                              <w:tcW w:w="1801" w:type="dxa"/>
                              <w:tcBorders>
                                <w:top w:val="single" w:sz="48" w:space="0" w:color="auto"/>
                              </w:tcBorders>
                              <w:vAlign w:val="center"/>
                            </w:tcPr>
                            <w:p w14:paraId="00B8FDFA" w14:textId="77777777" w:rsidR="009925C1" w:rsidRPr="00385384" w:rsidRDefault="009925C1" w:rsidP="00D23258">
                              <w:pPr>
                                <w:rPr>
                                  <w:rFonts w:cs="Tahoma"/>
                                </w:rPr>
                              </w:pPr>
                              <w:r w:rsidRPr="00385384">
                                <w:rPr>
                                  <w:rFonts w:cs="Tahoma"/>
                                </w:rPr>
                                <w:t>6%</w:t>
                              </w:r>
                            </w:p>
                          </w:tc>
                        </w:tr>
                        <w:tr w:rsidR="009925C1" w:rsidRPr="00CB687E" w14:paraId="60BC04B4" w14:textId="77777777" w:rsidTr="00A57F14">
                          <w:tc>
                            <w:tcPr>
                              <w:tcW w:w="2233" w:type="dxa"/>
                              <w:tcBorders>
                                <w:right w:val="single" w:sz="24" w:space="0" w:color="auto"/>
                              </w:tcBorders>
                              <w:vAlign w:val="center"/>
                            </w:tcPr>
                            <w:p w14:paraId="5398532C" w14:textId="7E68EDC1" w:rsidR="009925C1" w:rsidRPr="00385384" w:rsidRDefault="009925C1" w:rsidP="00D23258">
                              <w:pPr>
                                <w:rPr>
                                  <w:rFonts w:cs="Tahoma"/>
                                </w:rPr>
                              </w:pPr>
                              <w:r w:rsidRPr="00385384">
                                <w:rPr>
                                  <w:rFonts w:cs="Tahoma"/>
                                </w:rPr>
                                <w:t>Anti-Muslim Discrimination</w:t>
                              </w:r>
                              <w:r w:rsidR="00F30540">
                                <w:rPr>
                                  <w:rFonts w:cs="Tahoma"/>
                                </w:rPr>
                                <w:t>*</w:t>
                              </w:r>
                              <w:r w:rsidR="00F30540">
                                <w:t>**</w:t>
                              </w:r>
                            </w:p>
                          </w:tc>
                          <w:tc>
                            <w:tcPr>
                              <w:tcW w:w="1811" w:type="dxa"/>
                              <w:tcBorders>
                                <w:left w:val="single" w:sz="24" w:space="0" w:color="auto"/>
                              </w:tcBorders>
                              <w:vAlign w:val="center"/>
                            </w:tcPr>
                            <w:p w14:paraId="15BBA45E" w14:textId="77777777" w:rsidR="009925C1" w:rsidRPr="00385384" w:rsidRDefault="009925C1" w:rsidP="00D23258">
                              <w:pPr>
                                <w:rPr>
                                  <w:rFonts w:cs="Tahoma"/>
                                </w:rPr>
                              </w:pPr>
                              <w:r w:rsidRPr="00385384">
                                <w:rPr>
                                  <w:rFonts w:cs="Tahoma"/>
                                </w:rPr>
                                <w:t>297</w:t>
                              </w:r>
                            </w:p>
                          </w:tc>
                          <w:tc>
                            <w:tcPr>
                              <w:tcW w:w="1801" w:type="dxa"/>
                              <w:vAlign w:val="center"/>
                            </w:tcPr>
                            <w:p w14:paraId="5A9D5468" w14:textId="77777777" w:rsidR="009925C1" w:rsidRPr="00385384" w:rsidRDefault="009925C1" w:rsidP="00D23258">
                              <w:pPr>
                                <w:rPr>
                                  <w:rFonts w:cs="Tahoma"/>
                                </w:rPr>
                              </w:pPr>
                              <w:r w:rsidRPr="00385384">
                                <w:rPr>
                                  <w:rFonts w:cs="Tahoma"/>
                                </w:rPr>
                                <w:t>1.2%</w:t>
                              </w:r>
                            </w:p>
                          </w:tc>
                        </w:tr>
                        <w:tr w:rsidR="009925C1" w:rsidRPr="00CB687E" w14:paraId="4B6AFCA3" w14:textId="77777777" w:rsidTr="00A57F14">
                          <w:tc>
                            <w:tcPr>
                              <w:tcW w:w="2233" w:type="dxa"/>
                              <w:tcBorders>
                                <w:right w:val="single" w:sz="24" w:space="0" w:color="auto"/>
                              </w:tcBorders>
                              <w:vAlign w:val="center"/>
                            </w:tcPr>
                            <w:p w14:paraId="280D4EF3" w14:textId="77777777" w:rsidR="009925C1" w:rsidRPr="00385384" w:rsidRDefault="009925C1" w:rsidP="00D23258">
                              <w:pPr>
                                <w:rPr>
                                  <w:rFonts w:cs="Tahoma"/>
                                </w:rPr>
                              </w:pPr>
                              <w:r w:rsidRPr="00385384">
                                <w:rPr>
                                  <w:rFonts w:cs="Tahoma"/>
                                </w:rPr>
                                <w:t>Anti-Indigenous Discrimination</w:t>
                              </w:r>
                            </w:p>
                          </w:tc>
                          <w:tc>
                            <w:tcPr>
                              <w:tcW w:w="1811" w:type="dxa"/>
                              <w:tcBorders>
                                <w:left w:val="single" w:sz="24" w:space="0" w:color="auto"/>
                              </w:tcBorders>
                              <w:vAlign w:val="center"/>
                            </w:tcPr>
                            <w:p w14:paraId="219A86C9" w14:textId="77777777" w:rsidR="009925C1" w:rsidRPr="00385384" w:rsidRDefault="009925C1" w:rsidP="00D23258">
                              <w:pPr>
                                <w:rPr>
                                  <w:rFonts w:cs="Tahoma"/>
                                </w:rPr>
                              </w:pPr>
                              <w:r w:rsidRPr="00385384">
                                <w:rPr>
                                  <w:rFonts w:cs="Tahoma"/>
                                </w:rPr>
                                <w:t>280</w:t>
                              </w:r>
                            </w:p>
                          </w:tc>
                          <w:tc>
                            <w:tcPr>
                              <w:tcW w:w="1801" w:type="dxa"/>
                              <w:vAlign w:val="center"/>
                            </w:tcPr>
                            <w:p w14:paraId="4031A3F0" w14:textId="77777777" w:rsidR="009925C1" w:rsidRPr="00385384" w:rsidRDefault="009925C1" w:rsidP="00D23258">
                              <w:pPr>
                                <w:rPr>
                                  <w:rFonts w:cs="Tahoma"/>
                                </w:rPr>
                              </w:pPr>
                              <w:r w:rsidRPr="00385384">
                                <w:rPr>
                                  <w:rFonts w:cs="Tahoma"/>
                                </w:rPr>
                                <w:t>1.1%</w:t>
                              </w:r>
                            </w:p>
                          </w:tc>
                        </w:tr>
                        <w:tr w:rsidR="009925C1" w:rsidRPr="00CB687E" w14:paraId="7FD0CD52" w14:textId="77777777" w:rsidTr="00A57F14">
                          <w:tc>
                            <w:tcPr>
                              <w:tcW w:w="2233" w:type="dxa"/>
                              <w:tcBorders>
                                <w:right w:val="single" w:sz="24" w:space="0" w:color="auto"/>
                              </w:tcBorders>
                              <w:vAlign w:val="center"/>
                            </w:tcPr>
                            <w:p w14:paraId="626AD9DF" w14:textId="77777777" w:rsidR="009925C1" w:rsidRPr="00385384" w:rsidRDefault="009925C1" w:rsidP="00D23258">
                              <w:pPr>
                                <w:rPr>
                                  <w:rFonts w:cs="Tahoma"/>
                                </w:rPr>
                              </w:pPr>
                              <w:r w:rsidRPr="00385384">
                                <w:rPr>
                                  <w:rFonts w:cs="Tahoma"/>
                                </w:rPr>
                                <w:t>Anti-South Asian Racism</w:t>
                              </w:r>
                            </w:p>
                          </w:tc>
                          <w:tc>
                            <w:tcPr>
                              <w:tcW w:w="1811" w:type="dxa"/>
                              <w:tcBorders>
                                <w:left w:val="single" w:sz="24" w:space="0" w:color="auto"/>
                              </w:tcBorders>
                              <w:vAlign w:val="center"/>
                            </w:tcPr>
                            <w:p w14:paraId="383525FD" w14:textId="77777777" w:rsidR="009925C1" w:rsidRPr="00385384" w:rsidRDefault="009925C1" w:rsidP="00D23258">
                              <w:pPr>
                                <w:rPr>
                                  <w:rFonts w:cs="Tahoma"/>
                                </w:rPr>
                              </w:pPr>
                              <w:r w:rsidRPr="00385384">
                                <w:rPr>
                                  <w:rFonts w:cs="Tahoma"/>
                                </w:rPr>
                                <w:t>187</w:t>
                              </w:r>
                            </w:p>
                          </w:tc>
                          <w:tc>
                            <w:tcPr>
                              <w:tcW w:w="1801" w:type="dxa"/>
                              <w:vAlign w:val="center"/>
                            </w:tcPr>
                            <w:p w14:paraId="69FF3CEA" w14:textId="77777777" w:rsidR="009925C1" w:rsidRPr="00385384" w:rsidRDefault="009925C1" w:rsidP="00D23258">
                              <w:pPr>
                                <w:rPr>
                                  <w:rFonts w:cs="Tahoma"/>
                                </w:rPr>
                              </w:pPr>
                              <w:r w:rsidRPr="00385384">
                                <w:rPr>
                                  <w:rFonts w:cs="Tahoma"/>
                                </w:rPr>
                                <w:t>0.8%</w:t>
                              </w:r>
                            </w:p>
                          </w:tc>
                        </w:tr>
                        <w:tr w:rsidR="009925C1" w:rsidRPr="00CB687E" w14:paraId="33F41B57" w14:textId="77777777" w:rsidTr="00A57F14">
                          <w:tc>
                            <w:tcPr>
                              <w:tcW w:w="2233" w:type="dxa"/>
                              <w:tcBorders>
                                <w:right w:val="single" w:sz="24" w:space="0" w:color="auto"/>
                              </w:tcBorders>
                              <w:vAlign w:val="center"/>
                            </w:tcPr>
                            <w:p w14:paraId="0861CDB6" w14:textId="14008E5E" w:rsidR="009925C1" w:rsidRPr="00385384" w:rsidRDefault="009925C1" w:rsidP="00D23258">
                              <w:pPr>
                                <w:rPr>
                                  <w:rFonts w:cs="Tahoma"/>
                                </w:rPr>
                              </w:pPr>
                              <w:r w:rsidRPr="00385384">
                                <w:rPr>
                                  <w:rFonts w:cs="Tahoma"/>
                                </w:rPr>
                                <w:t>Antisemitism</w:t>
                              </w:r>
                              <w:r w:rsidR="00F30540">
                                <w:rPr>
                                  <w:rFonts w:cs="Tahoma"/>
                                </w:rPr>
                                <w:t>**</w:t>
                              </w:r>
                              <w:r w:rsidRPr="00F30540">
                                <w:rPr>
                                  <w:rStyle w:val="FootnoteReference"/>
                                  <w:rFonts w:cs="Tahoma"/>
                                  <w:vertAlign w:val="baseline"/>
                                </w:rPr>
                                <w:t>*</w:t>
                              </w:r>
                            </w:p>
                          </w:tc>
                          <w:tc>
                            <w:tcPr>
                              <w:tcW w:w="1811" w:type="dxa"/>
                              <w:tcBorders>
                                <w:left w:val="single" w:sz="24" w:space="0" w:color="auto"/>
                              </w:tcBorders>
                              <w:vAlign w:val="center"/>
                            </w:tcPr>
                            <w:p w14:paraId="2B1D699A" w14:textId="77777777" w:rsidR="009925C1" w:rsidRPr="00385384" w:rsidRDefault="009925C1" w:rsidP="00D23258">
                              <w:pPr>
                                <w:rPr>
                                  <w:rFonts w:cs="Tahoma"/>
                                </w:rPr>
                              </w:pPr>
                              <w:r w:rsidRPr="00385384">
                                <w:rPr>
                                  <w:rFonts w:cs="Tahoma"/>
                                </w:rPr>
                                <w:t>87</w:t>
                              </w:r>
                            </w:p>
                          </w:tc>
                          <w:tc>
                            <w:tcPr>
                              <w:tcW w:w="1801" w:type="dxa"/>
                              <w:vAlign w:val="center"/>
                            </w:tcPr>
                            <w:p w14:paraId="22691269" w14:textId="77777777" w:rsidR="009925C1" w:rsidRPr="00385384" w:rsidRDefault="009925C1" w:rsidP="00D23258">
                              <w:pPr>
                                <w:rPr>
                                  <w:rFonts w:cs="Tahoma"/>
                                </w:rPr>
                              </w:pPr>
                              <w:r w:rsidRPr="00385384">
                                <w:rPr>
                                  <w:rFonts w:cs="Tahoma"/>
                                </w:rPr>
                                <w:t>0.4%</w:t>
                              </w:r>
                            </w:p>
                          </w:tc>
                        </w:tr>
                        <w:tr w:rsidR="009925C1" w:rsidRPr="00CB687E" w14:paraId="460CA6B4" w14:textId="77777777" w:rsidTr="00A57F14">
                          <w:tc>
                            <w:tcPr>
                              <w:tcW w:w="2233" w:type="dxa"/>
                              <w:tcBorders>
                                <w:right w:val="single" w:sz="24" w:space="0" w:color="auto"/>
                              </w:tcBorders>
                              <w:vAlign w:val="center"/>
                            </w:tcPr>
                            <w:p w14:paraId="36C9A03D" w14:textId="77777777" w:rsidR="009925C1" w:rsidRPr="00385384" w:rsidRDefault="009925C1" w:rsidP="00D23258">
                              <w:pPr>
                                <w:rPr>
                                  <w:rFonts w:cs="Tahoma"/>
                                </w:rPr>
                              </w:pPr>
                              <w:r w:rsidRPr="00385384">
                                <w:rPr>
                                  <w:rFonts w:cs="Tahoma"/>
                                </w:rPr>
                                <w:t>Anti-East Asian Racism</w:t>
                              </w:r>
                            </w:p>
                          </w:tc>
                          <w:tc>
                            <w:tcPr>
                              <w:tcW w:w="1811" w:type="dxa"/>
                              <w:tcBorders>
                                <w:left w:val="single" w:sz="24" w:space="0" w:color="auto"/>
                              </w:tcBorders>
                              <w:vAlign w:val="center"/>
                            </w:tcPr>
                            <w:p w14:paraId="70151082" w14:textId="77777777" w:rsidR="009925C1" w:rsidRPr="00385384" w:rsidRDefault="009925C1" w:rsidP="00D23258">
                              <w:pPr>
                                <w:rPr>
                                  <w:rFonts w:cs="Tahoma"/>
                                </w:rPr>
                              </w:pPr>
                              <w:r w:rsidRPr="00385384">
                                <w:rPr>
                                  <w:rFonts w:cs="Tahoma"/>
                                </w:rPr>
                                <w:t>64</w:t>
                              </w:r>
                            </w:p>
                          </w:tc>
                          <w:tc>
                            <w:tcPr>
                              <w:tcW w:w="1801" w:type="dxa"/>
                              <w:vAlign w:val="center"/>
                            </w:tcPr>
                            <w:p w14:paraId="73274EF3" w14:textId="77777777" w:rsidR="009925C1" w:rsidRPr="00385384" w:rsidRDefault="009925C1" w:rsidP="00D23258">
                              <w:pPr>
                                <w:rPr>
                                  <w:rFonts w:cs="Tahoma"/>
                                </w:rPr>
                              </w:pPr>
                              <w:r w:rsidRPr="00385384">
                                <w:rPr>
                                  <w:rFonts w:cs="Tahoma"/>
                                </w:rPr>
                                <w:t>0.3%</w:t>
                              </w:r>
                            </w:p>
                          </w:tc>
                        </w:tr>
                      </w:tbl>
                      <w:p w14:paraId="09B32FE6" w14:textId="625E0ED4" w:rsidR="00F30540" w:rsidRPr="00385384" w:rsidRDefault="00F30540" w:rsidP="00F30540">
                        <w:pPr>
                          <w:rPr>
                            <w:rFonts w:cs="Tahoma"/>
                          </w:rPr>
                        </w:pPr>
                        <w:r>
                          <w:t>***</w:t>
                        </w:r>
                        <w:r w:rsidRPr="00385384">
                          <w:rPr>
                            <w:rFonts w:cs="Tahoma"/>
                          </w:rPr>
                          <w:t>Calculated based on a total of 24,426 inquiries</w:t>
                        </w:r>
                      </w:p>
                      <w:p w14:paraId="13E8BA4B" w14:textId="447F6BAB" w:rsidR="009925C1" w:rsidRPr="00D23258" w:rsidRDefault="009925C1" w:rsidP="009925C1"/>
                    </w:txbxContent>
                  </v:textbox>
                </v:shape>
                <w10:wrap type="square" anchorx="margin" anchory="margin"/>
                <w10:anchorlock/>
              </v:group>
            </w:pict>
          </mc:Fallback>
        </mc:AlternateContent>
      </w:r>
      <w:r>
        <w:br w:type="page"/>
      </w:r>
    </w:p>
    <w:p w14:paraId="3C5A64B7" w14:textId="612360E0" w:rsidR="00032481" w:rsidRPr="00CB687E" w:rsidRDefault="007F3A16" w:rsidP="00032481">
      <w:pPr>
        <w:pStyle w:val="Heading3"/>
      </w:pPr>
      <w:bookmarkStart w:id="93" w:name="_Toc204090281"/>
      <w:r w:rsidRPr="007F3A16">
        <w:rPr>
          <w:rFonts w:cs="Tahoma"/>
          <w:noProof/>
        </w:rPr>
        <w:lastRenderedPageBreak/>
        <mc:AlternateContent>
          <mc:Choice Requires="wps">
            <w:drawing>
              <wp:anchor distT="45720" distB="45720" distL="114300" distR="114300" simplePos="0" relativeHeight="251653124" behindDoc="0" locked="1" layoutInCell="1" allowOverlap="1" wp14:anchorId="7D3ECDDC" wp14:editId="473B2F49">
                <wp:simplePos x="0" y="0"/>
                <wp:positionH relativeFrom="column">
                  <wp:posOffset>0</wp:posOffset>
                </wp:positionH>
                <wp:positionV relativeFrom="page">
                  <wp:posOffset>1360805</wp:posOffset>
                </wp:positionV>
                <wp:extent cx="8132400" cy="140462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2400" cy="1404620"/>
                        </a:xfrm>
                        <a:prstGeom prst="rect">
                          <a:avLst/>
                        </a:prstGeom>
                        <a:solidFill>
                          <a:srgbClr val="FFFFFF"/>
                        </a:solidFill>
                        <a:ln w="9525">
                          <a:noFill/>
                          <a:miter lim="800000"/>
                          <a:headEnd/>
                          <a:tailEnd/>
                        </a:ln>
                      </wps:spPr>
                      <wps:txbx>
                        <w:txbxContent>
                          <w:p w14:paraId="659351D7" w14:textId="1F6EFB60" w:rsidR="007F3A16" w:rsidRDefault="007F3A16" w:rsidP="007F3A16">
                            <w:pPr>
                              <w:jc w:val="center"/>
                            </w:pPr>
                            <w:r>
                              <w:rPr>
                                <w:noProof/>
                              </w:rPr>
                              <w:drawing>
                                <wp:inline distT="0" distB="0" distL="0" distR="0" wp14:anchorId="46C3E850" wp14:editId="7188548F">
                                  <wp:extent cx="3895200" cy="2937600"/>
                                  <wp:effectExtent l="0" t="0" r="10160" b="15240"/>
                                  <wp:docPr id="1192875398" name="Chart 1" descr="Title: All intake calls.&#10;&#10;Number of calls entered during the 2022-2023 fiscal year: 0; 2023-2024: 23,134; 2024-2025: 27,160.&#10;&#10;Number of calls accepted during the 2022-2023 fiscal year: 18,721; 2023-2024: 20,460; 2024-2025: 23,823. ">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15063E">
                              <w:rPr>
                                <w:noProof/>
                              </w:rPr>
                              <w:drawing>
                                <wp:inline distT="0" distB="0" distL="0" distR="0" wp14:anchorId="7FAE59BA" wp14:editId="7AD639F6">
                                  <wp:extent cx="3896632" cy="2938780"/>
                                  <wp:effectExtent l="0" t="0" r="8890" b="13970"/>
                                  <wp:docPr id="35953440" name="Chart 1" descr="Title: Intake calls (received) in 2024-2025 compared to the previous five years.&#10;&#10;Number of calls from 2019-2020 to 2023-2024 (five-year average): 23,665; 2024-2025: 27,160.">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3ECDDC" id="_x0000_s1035" type="#_x0000_t202" style="position:absolute;margin-left:0;margin-top:107.15pt;width:640.35pt;height:110.6pt;z-index:2516531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lwEQIAAP4D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" stroked="f">
                <v:textbox style="mso-fit-shape-to-text:t">
                  <w:txbxContent>
                    <w:p w14:paraId="659351D7" w14:textId="1F6EFB60" w:rsidR="007F3A16" w:rsidRDefault="007F3A16" w:rsidP="007F3A16">
                      <w:pPr>
                        <w:jc w:val="center"/>
                      </w:pPr>
                      <w:r>
                        <w:rPr>
                          <w:noProof/>
                        </w:rPr>
                        <w:drawing>
                          <wp:inline distT="0" distB="0" distL="0" distR="0" wp14:anchorId="46C3E850" wp14:editId="7188548F">
                            <wp:extent cx="3895200" cy="2937600"/>
                            <wp:effectExtent l="0" t="0" r="10160" b="15240"/>
                            <wp:docPr id="1192875398" name="Chart 1" descr="Title: All intake calls.&#10;&#10;Number of calls entered during the 2022-2023 fiscal year: 0; 2023-2024: 23,134; 2024-2025: 27,160.&#10;&#10;Number of calls accepted during the 2022-2023 fiscal year: 18,721; 2023-2024: 20,460; 2024-2025: 23,823. ">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15063E">
                        <w:rPr>
                          <w:noProof/>
                        </w:rPr>
                        <w:drawing>
                          <wp:inline distT="0" distB="0" distL="0" distR="0" wp14:anchorId="7FAE59BA" wp14:editId="7AD639F6">
                            <wp:extent cx="3896632" cy="2938780"/>
                            <wp:effectExtent l="0" t="0" r="8890" b="13970"/>
                            <wp:docPr id="35953440" name="Chart 1" descr="Title: Intake calls (received) in 2024-2025 compared to the previous five years.&#10;&#10;Number of calls from 2019-2020 to 2023-2024 (five-year average): 23,665; 2024-2025: 27,160.">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xbxContent>
                </v:textbox>
                <w10:wrap type="square" anchory="page"/>
                <w10:anchorlock/>
              </v:shape>
            </w:pict>
          </mc:Fallback>
        </mc:AlternateContent>
      </w:r>
      <w:r w:rsidR="00032481" w:rsidRPr="00CB687E">
        <w:t xml:space="preserve">4.3.4 Initial Phone Calls Received </w:t>
      </w:r>
      <w:r w:rsidR="00EB245F">
        <w:t>and</w:t>
      </w:r>
      <w:r w:rsidR="00032481" w:rsidRPr="00CB687E">
        <w:t xml:space="preserve"> Accepted</w:t>
      </w:r>
      <w:bookmarkEnd w:id="93"/>
    </w:p>
    <w:p w14:paraId="4DDA6D4C" w14:textId="2828EEE4" w:rsidR="00032481" w:rsidRPr="00CB687E" w:rsidRDefault="29B28CED" w:rsidP="007F3A16">
      <w:pPr>
        <w:spacing w:before="240"/>
        <w:rPr>
          <w:rFonts w:cs="Tahoma"/>
        </w:rPr>
      </w:pPr>
      <w:r w:rsidRPr="3D8EA24A">
        <w:rPr>
          <w:rFonts w:cs="Tahoma"/>
        </w:rPr>
        <w:t xml:space="preserve">The number of </w:t>
      </w:r>
      <w:r w:rsidR="21679469" w:rsidRPr="3D8EA24A">
        <w:rPr>
          <w:rFonts w:cs="Tahoma"/>
        </w:rPr>
        <w:t xml:space="preserve">HRLSC calls </w:t>
      </w:r>
      <w:r w:rsidR="00C231C2" w:rsidRPr="3D8EA24A">
        <w:rPr>
          <w:rFonts w:cs="Tahoma"/>
        </w:rPr>
        <w:t xml:space="preserve">accepted </w:t>
      </w:r>
      <w:r w:rsidR="00233DB3" w:rsidRPr="3D8EA24A">
        <w:rPr>
          <w:rFonts w:cs="Tahoma"/>
        </w:rPr>
        <w:t>increased</w:t>
      </w:r>
      <w:r w:rsidR="6EE1508F" w:rsidRPr="3D8EA24A">
        <w:rPr>
          <w:rFonts w:cs="Tahoma"/>
        </w:rPr>
        <w:t xml:space="preserve"> 27% </w:t>
      </w:r>
      <w:r w:rsidR="00032481" w:rsidRPr="3D8EA24A">
        <w:rPr>
          <w:rFonts w:cs="Tahoma"/>
        </w:rPr>
        <w:t xml:space="preserve">from </w:t>
      </w:r>
      <w:r w:rsidR="1AB10C8E" w:rsidRPr="3D8EA24A">
        <w:rPr>
          <w:rFonts w:cs="Tahoma"/>
        </w:rPr>
        <w:t xml:space="preserve">18,721 in </w:t>
      </w:r>
      <w:r w:rsidR="00032481" w:rsidRPr="3D8EA24A">
        <w:rPr>
          <w:rFonts w:cs="Tahoma"/>
        </w:rPr>
        <w:t>202</w:t>
      </w:r>
      <w:r w:rsidR="003048B2" w:rsidRPr="3D8EA24A">
        <w:rPr>
          <w:rFonts w:cs="Tahoma"/>
        </w:rPr>
        <w:t>2</w:t>
      </w:r>
      <w:r w:rsidR="003249AC" w:rsidRPr="3D8EA24A">
        <w:rPr>
          <w:rFonts w:cs="Tahoma"/>
        </w:rPr>
        <w:t>–20</w:t>
      </w:r>
      <w:r w:rsidR="00032481" w:rsidRPr="3D8EA24A">
        <w:rPr>
          <w:rFonts w:cs="Tahoma"/>
        </w:rPr>
        <w:t>2</w:t>
      </w:r>
      <w:r w:rsidR="003048B2" w:rsidRPr="3D8EA24A">
        <w:rPr>
          <w:rFonts w:cs="Tahoma"/>
        </w:rPr>
        <w:t>3</w:t>
      </w:r>
      <w:r w:rsidR="00032481" w:rsidRPr="3D8EA24A">
        <w:rPr>
          <w:rFonts w:cs="Tahoma"/>
        </w:rPr>
        <w:t xml:space="preserve"> to</w:t>
      </w:r>
      <w:r w:rsidR="03FAB61E" w:rsidRPr="3D8EA24A">
        <w:rPr>
          <w:rFonts w:cs="Tahoma"/>
        </w:rPr>
        <w:t xml:space="preserve"> 23,823 in</w:t>
      </w:r>
      <w:r w:rsidR="00032481" w:rsidRPr="3D8EA24A">
        <w:rPr>
          <w:rFonts w:cs="Tahoma"/>
        </w:rPr>
        <w:t xml:space="preserve"> 2024</w:t>
      </w:r>
      <w:r w:rsidR="003249AC" w:rsidRPr="3D8EA24A">
        <w:rPr>
          <w:rFonts w:cs="Tahoma"/>
        </w:rPr>
        <w:t>–20</w:t>
      </w:r>
      <w:r w:rsidR="00032481" w:rsidRPr="3D8EA24A">
        <w:rPr>
          <w:rFonts w:cs="Tahoma"/>
        </w:rPr>
        <w:t>25</w:t>
      </w:r>
      <w:r w:rsidR="75988959" w:rsidRPr="3D8EA24A">
        <w:rPr>
          <w:rFonts w:cs="Tahoma"/>
        </w:rPr>
        <w:t>.</w:t>
      </w:r>
      <w:r w:rsidR="00032481" w:rsidRPr="3D8EA24A">
        <w:rPr>
          <w:rFonts w:cs="Tahoma"/>
        </w:rPr>
        <w:t xml:space="preserve"> </w:t>
      </w:r>
      <w:r w:rsidR="75988959" w:rsidRPr="3D8EA24A">
        <w:rPr>
          <w:rFonts w:cs="Tahoma"/>
        </w:rPr>
        <w:t>A</w:t>
      </w:r>
      <w:r w:rsidR="00032481" w:rsidRPr="3D8EA24A">
        <w:rPr>
          <w:rFonts w:cs="Tahoma"/>
        </w:rPr>
        <w:t xml:space="preserve">pplications received by the HRTO </w:t>
      </w:r>
      <w:r w:rsidR="12AB5974" w:rsidRPr="3D8EA24A">
        <w:rPr>
          <w:rFonts w:cs="Tahoma"/>
        </w:rPr>
        <w:t xml:space="preserve">also </w:t>
      </w:r>
      <w:r w:rsidR="00032481" w:rsidRPr="3D8EA24A">
        <w:rPr>
          <w:rFonts w:cs="Tahoma"/>
        </w:rPr>
        <w:t>increased considerably over the same period. Specifically, in 2022</w:t>
      </w:r>
      <w:r w:rsidR="003249AC" w:rsidRPr="3D8EA24A">
        <w:rPr>
          <w:rFonts w:cs="Tahoma"/>
        </w:rPr>
        <w:t>–20</w:t>
      </w:r>
      <w:r w:rsidR="00032481" w:rsidRPr="3D8EA24A">
        <w:rPr>
          <w:rFonts w:cs="Tahoma"/>
        </w:rPr>
        <w:t>23 the HRTO received 3,425 applications, a figure which rose to 4,500 in 2024</w:t>
      </w:r>
      <w:r w:rsidR="003249AC" w:rsidRPr="3D8EA24A">
        <w:rPr>
          <w:rFonts w:cs="Tahoma"/>
        </w:rPr>
        <w:t>–20</w:t>
      </w:r>
      <w:r w:rsidR="00032481" w:rsidRPr="3D8EA24A">
        <w:rPr>
          <w:rFonts w:cs="Tahoma"/>
        </w:rPr>
        <w:t>25</w:t>
      </w:r>
      <w:r w:rsidR="008C78F1" w:rsidRPr="008C78F1">
        <w:rPr>
          <w:rFonts w:cs="Tahoma"/>
        </w:rPr>
        <w:t>—</w:t>
      </w:r>
      <w:r w:rsidR="00032481" w:rsidRPr="15E62E44">
        <w:rPr>
          <w:rFonts w:cs="Tahoma"/>
        </w:rPr>
        <w:t xml:space="preserve"> </w:t>
      </w:r>
      <w:r w:rsidR="0083F5BE" w:rsidRPr="15E62E44">
        <w:rPr>
          <w:rFonts w:cs="Tahoma"/>
        </w:rPr>
        <w:t xml:space="preserve">a </w:t>
      </w:r>
      <w:r w:rsidR="00032481" w:rsidRPr="3D8EA24A">
        <w:rPr>
          <w:rFonts w:cs="Tahoma"/>
        </w:rPr>
        <w:t>3</w:t>
      </w:r>
      <w:r w:rsidR="32DDEF48" w:rsidRPr="3D8EA24A">
        <w:rPr>
          <w:rFonts w:cs="Tahoma"/>
        </w:rPr>
        <w:t>1</w:t>
      </w:r>
      <w:r w:rsidR="00032481" w:rsidRPr="3D8EA24A">
        <w:rPr>
          <w:rFonts w:cs="Tahoma"/>
        </w:rPr>
        <w:t>% increase</w:t>
      </w:r>
      <w:r w:rsidR="589EC268" w:rsidRPr="3D8EA24A">
        <w:rPr>
          <w:rFonts w:cs="Tahoma"/>
        </w:rPr>
        <w:t>. This may in part account for the increase in HRLSC call numbers</w:t>
      </w:r>
      <w:r w:rsidR="00B35325" w:rsidRPr="3D8EA24A">
        <w:rPr>
          <w:rFonts w:cs="Tahoma"/>
        </w:rPr>
        <w:t xml:space="preserve">, </w:t>
      </w:r>
      <w:r w:rsidR="00B35325" w:rsidRPr="00B74A3D">
        <w:rPr>
          <w:rFonts w:cs="Tahoma"/>
        </w:rPr>
        <w:t xml:space="preserve">in keeping with the expectation that </w:t>
      </w:r>
      <w:r w:rsidR="00B46168" w:rsidRPr="00B74A3D">
        <w:rPr>
          <w:rFonts w:cs="Tahoma"/>
        </w:rPr>
        <w:t>numerous individuals seeking assistance in response to discrimination will access both the HRLSC and the HRTO</w:t>
      </w:r>
      <w:r w:rsidR="588C3E8F" w:rsidRPr="00B74A3D">
        <w:rPr>
          <w:rFonts w:cs="Tahoma"/>
        </w:rPr>
        <w:t>, and because the HRTO is a top source of referral for HRLSC clients</w:t>
      </w:r>
      <w:r w:rsidR="00B46168" w:rsidRPr="00B74A3D">
        <w:rPr>
          <w:rFonts w:cs="Tahoma"/>
        </w:rPr>
        <w:t>.</w:t>
      </w:r>
      <w:r w:rsidR="00A6779D">
        <w:rPr>
          <w:rFonts w:cs="Tahoma"/>
        </w:rPr>
        <w:t xml:space="preserve"> </w:t>
      </w:r>
    </w:p>
    <w:p w14:paraId="43CD161C" w14:textId="47BD9528" w:rsidR="00032481" w:rsidRPr="00CB687E" w:rsidRDefault="002F06D2" w:rsidP="00032481">
      <w:pPr>
        <w:rPr>
          <w:rFonts w:cs="Tahoma"/>
        </w:rPr>
      </w:pPr>
      <w:r w:rsidRPr="00CB687E">
        <w:rPr>
          <w:rFonts w:cs="Tahoma"/>
        </w:rPr>
        <w:t xml:space="preserve">The number of calls </w:t>
      </w:r>
      <w:r w:rsidR="371B24AD" w:rsidRPr="15E62E44">
        <w:rPr>
          <w:rFonts w:cs="Tahoma"/>
        </w:rPr>
        <w:t xml:space="preserve">HRLSC </w:t>
      </w:r>
      <w:r w:rsidRPr="00CB687E">
        <w:rPr>
          <w:rFonts w:cs="Tahoma"/>
        </w:rPr>
        <w:t>accepted in 2024</w:t>
      </w:r>
      <w:r w:rsidR="00B72531" w:rsidRPr="00B72531">
        <w:rPr>
          <w:rFonts w:cs="Tahoma"/>
        </w:rPr>
        <w:t>–</w:t>
      </w:r>
      <w:r w:rsidR="00B72531">
        <w:rPr>
          <w:rFonts w:cs="Tahoma"/>
        </w:rPr>
        <w:t>20</w:t>
      </w:r>
      <w:r w:rsidRPr="00CB687E">
        <w:rPr>
          <w:rFonts w:cs="Tahoma"/>
        </w:rPr>
        <w:t>25 was the highest total since 2018</w:t>
      </w:r>
      <w:r w:rsidR="00B72531" w:rsidRPr="00B72531">
        <w:rPr>
          <w:rFonts w:cs="Tahoma"/>
        </w:rPr>
        <w:t>–</w:t>
      </w:r>
      <w:r w:rsidR="00B72531">
        <w:rPr>
          <w:rFonts w:cs="Tahoma"/>
        </w:rPr>
        <w:t>20</w:t>
      </w:r>
      <w:r w:rsidRPr="00CB687E">
        <w:rPr>
          <w:rFonts w:cs="Tahoma"/>
        </w:rPr>
        <w:t xml:space="preserve">19. </w:t>
      </w:r>
      <w:r w:rsidR="0F3B63DF" w:rsidRPr="15E62E44">
        <w:rPr>
          <w:rFonts w:cs="Tahoma"/>
        </w:rPr>
        <w:t>T</w:t>
      </w:r>
      <w:r w:rsidRPr="15E62E44">
        <w:rPr>
          <w:rFonts w:cs="Tahoma"/>
        </w:rPr>
        <w:t>he</w:t>
      </w:r>
      <w:r w:rsidRPr="00CB687E">
        <w:rPr>
          <w:rFonts w:cs="Tahoma"/>
        </w:rPr>
        <w:t xml:space="preserve"> 23,823 calls accepted in 2024</w:t>
      </w:r>
      <w:r w:rsidR="00B72531" w:rsidRPr="00B72531">
        <w:rPr>
          <w:rFonts w:cs="Tahoma"/>
        </w:rPr>
        <w:t>–</w:t>
      </w:r>
      <w:r w:rsidR="00B72531">
        <w:rPr>
          <w:rFonts w:cs="Tahoma"/>
        </w:rPr>
        <w:t>20</w:t>
      </w:r>
      <w:r w:rsidRPr="00CB687E">
        <w:rPr>
          <w:rFonts w:cs="Tahoma"/>
        </w:rPr>
        <w:t>25 represented a 1</w:t>
      </w:r>
      <w:r w:rsidR="00933976" w:rsidRPr="00CB687E">
        <w:rPr>
          <w:rFonts w:cs="Tahoma"/>
        </w:rPr>
        <w:t>6</w:t>
      </w:r>
      <w:r w:rsidRPr="00CB687E">
        <w:rPr>
          <w:rFonts w:cs="Tahoma"/>
        </w:rPr>
        <w:t>.4% increase over the 20,460 calls accepted in 2023</w:t>
      </w:r>
      <w:r w:rsidR="00B72531" w:rsidRPr="00B72531">
        <w:rPr>
          <w:rFonts w:cs="Tahoma"/>
        </w:rPr>
        <w:t>–</w:t>
      </w:r>
      <w:r w:rsidR="00B72531">
        <w:rPr>
          <w:rFonts w:cs="Tahoma"/>
        </w:rPr>
        <w:t>20</w:t>
      </w:r>
      <w:r w:rsidRPr="00CB687E">
        <w:rPr>
          <w:rFonts w:cs="Tahoma"/>
        </w:rPr>
        <w:t>24.</w:t>
      </w:r>
    </w:p>
    <w:p w14:paraId="32CB42F6" w14:textId="76D81744" w:rsidR="00032481" w:rsidRPr="00CB687E" w:rsidRDefault="2C4D2F7D" w:rsidP="00032481">
      <w:pPr>
        <w:rPr>
          <w:rFonts w:cs="Tahoma"/>
        </w:rPr>
      </w:pPr>
      <w:r w:rsidRPr="00CB687E">
        <w:rPr>
          <w:rFonts w:cs="Tahoma"/>
        </w:rPr>
        <w:lastRenderedPageBreak/>
        <w:t>The number of calls received in 2024</w:t>
      </w:r>
      <w:r w:rsidR="7EE87A4B" w:rsidRPr="285EF893">
        <w:rPr>
          <w:rFonts w:cs="Tahoma"/>
        </w:rPr>
        <w:t>–</w:t>
      </w:r>
      <w:r w:rsidR="40439DDB" w:rsidRPr="285EF893">
        <w:rPr>
          <w:rFonts w:cs="Tahoma"/>
        </w:rPr>
        <w:t>20</w:t>
      </w:r>
      <w:r w:rsidRPr="00CB687E">
        <w:rPr>
          <w:rFonts w:cs="Tahoma"/>
        </w:rPr>
        <w:t>25 was 15% higher than the average of the preceding five years, 2019</w:t>
      </w:r>
      <w:r w:rsidR="40439DDB" w:rsidRPr="285EF893">
        <w:rPr>
          <w:rFonts w:cs="Tahoma"/>
        </w:rPr>
        <w:t>–20</w:t>
      </w:r>
      <w:r w:rsidRPr="00CB687E">
        <w:rPr>
          <w:rFonts w:cs="Tahoma"/>
        </w:rPr>
        <w:t>20 to 2023</w:t>
      </w:r>
      <w:r w:rsidR="40439DDB" w:rsidRPr="285EF893">
        <w:rPr>
          <w:rFonts w:cs="Tahoma"/>
        </w:rPr>
        <w:t>–20</w:t>
      </w:r>
      <w:r w:rsidRPr="00CB687E">
        <w:rPr>
          <w:rFonts w:cs="Tahoma"/>
        </w:rPr>
        <w:t xml:space="preserve">24. This significantly greater number of calls to the Centre may be </w:t>
      </w:r>
      <w:r w:rsidR="0896990E" w:rsidRPr="285EF893">
        <w:rPr>
          <w:rFonts w:cs="Tahoma"/>
        </w:rPr>
        <w:t>due to</w:t>
      </w:r>
      <w:r w:rsidRPr="00CB687E">
        <w:rPr>
          <w:rFonts w:cs="Tahoma"/>
        </w:rPr>
        <w:t xml:space="preserve"> </w:t>
      </w:r>
      <w:r w:rsidR="1FE6314B" w:rsidRPr="00CB687E">
        <w:rPr>
          <w:rFonts w:cs="Tahoma"/>
        </w:rPr>
        <w:t>a number of potential factors, including</w:t>
      </w:r>
      <w:r w:rsidR="0896990E" w:rsidRPr="285EF893">
        <w:rPr>
          <w:rFonts w:cs="Tahoma"/>
        </w:rPr>
        <w:t>:</w:t>
      </w:r>
      <w:r w:rsidR="1FE6314B" w:rsidRPr="00CB687E">
        <w:rPr>
          <w:rFonts w:cs="Tahoma"/>
        </w:rPr>
        <w:t xml:space="preserve"> increasing </w:t>
      </w:r>
      <w:r w:rsidR="0896990E" w:rsidRPr="285EF893">
        <w:rPr>
          <w:rFonts w:cs="Tahoma"/>
        </w:rPr>
        <w:t xml:space="preserve">incidents of </w:t>
      </w:r>
      <w:r w:rsidR="1FE6314B" w:rsidRPr="00CB687E">
        <w:rPr>
          <w:rFonts w:cs="Tahoma"/>
        </w:rPr>
        <w:t>discrimination</w:t>
      </w:r>
      <w:r w:rsidR="0896990E" w:rsidRPr="285EF893">
        <w:rPr>
          <w:rFonts w:cs="Tahoma"/>
        </w:rPr>
        <w:t>; greater</w:t>
      </w:r>
      <w:r w:rsidR="1FE6314B" w:rsidRPr="00CB687E">
        <w:rPr>
          <w:rFonts w:cs="Tahoma"/>
        </w:rPr>
        <w:t xml:space="preserve"> hate and social polarization in Ontario society (consistent with growing hate crime levels in Ontario)</w:t>
      </w:r>
      <w:r w:rsidR="00E63F15" w:rsidRPr="00CB687E">
        <w:rPr>
          <w:rStyle w:val="FootnoteReference"/>
          <w:rFonts w:cs="Tahoma"/>
        </w:rPr>
        <w:footnoteReference w:id="3"/>
      </w:r>
      <w:r w:rsidR="0896990E" w:rsidRPr="285EF893">
        <w:rPr>
          <w:rFonts w:cs="Tahoma"/>
        </w:rPr>
        <w:t>;</w:t>
      </w:r>
      <w:r w:rsidR="1FE6314B" w:rsidRPr="285EF893">
        <w:rPr>
          <w:rFonts w:cs="Tahoma"/>
        </w:rPr>
        <w:t xml:space="preserve"> increas</w:t>
      </w:r>
      <w:r w:rsidR="0896990E" w:rsidRPr="285EF893">
        <w:rPr>
          <w:rFonts w:cs="Tahoma"/>
        </w:rPr>
        <w:t>ed</w:t>
      </w:r>
      <w:r w:rsidR="1FE6314B" w:rsidRPr="00CB687E">
        <w:rPr>
          <w:rFonts w:cs="Tahoma"/>
        </w:rPr>
        <w:t xml:space="preserve"> reporting of incidents and </w:t>
      </w:r>
      <w:r w:rsidR="0896990E" w:rsidRPr="285EF893">
        <w:rPr>
          <w:rFonts w:cs="Tahoma"/>
        </w:rPr>
        <w:t>action to seek</w:t>
      </w:r>
      <w:r w:rsidR="1FE6314B" w:rsidRPr="00CB687E">
        <w:rPr>
          <w:rFonts w:cs="Tahoma"/>
        </w:rPr>
        <w:t xml:space="preserve"> redress</w:t>
      </w:r>
      <w:r w:rsidR="3DAA8133" w:rsidRPr="00CB687E">
        <w:rPr>
          <w:rFonts w:cs="Tahoma"/>
        </w:rPr>
        <w:t xml:space="preserve"> (as suggested by increasing HRTO Application numbers this year)</w:t>
      </w:r>
      <w:r w:rsidR="0896990E" w:rsidRPr="15E62E44">
        <w:rPr>
          <w:rFonts w:cs="Tahoma"/>
        </w:rPr>
        <w:t>;</w:t>
      </w:r>
      <w:r w:rsidR="1FE6314B" w:rsidRPr="00CB687E">
        <w:rPr>
          <w:rFonts w:cs="Tahoma"/>
        </w:rPr>
        <w:t xml:space="preserve"> as well as </w:t>
      </w:r>
      <w:r w:rsidR="22BF57A4" w:rsidRPr="00CB687E">
        <w:rPr>
          <w:rFonts w:cs="Tahoma"/>
        </w:rPr>
        <w:t>increased HRLSC</w:t>
      </w:r>
      <w:r w:rsidRPr="00CB687E">
        <w:rPr>
          <w:rFonts w:cs="Tahoma"/>
        </w:rPr>
        <w:t xml:space="preserve"> communications efforts which have raised the public profile of the Centre</w:t>
      </w:r>
      <w:r w:rsidR="0896990E" w:rsidRPr="285EF893">
        <w:rPr>
          <w:rFonts w:cs="Tahoma"/>
        </w:rPr>
        <w:t xml:space="preserve"> and awareness of possible human rights remedies.</w:t>
      </w:r>
    </w:p>
    <w:p w14:paraId="3B5A1D46" w14:textId="5B018B3B" w:rsidR="00032481" w:rsidRPr="00CB687E" w:rsidRDefault="00526DB5" w:rsidP="00032481">
      <w:pPr>
        <w:pStyle w:val="Heading3"/>
      </w:pPr>
      <w:bookmarkStart w:id="94" w:name="_Toc204090282"/>
      <w:r w:rsidRPr="0015063E">
        <w:rPr>
          <w:noProof/>
        </w:rPr>
        <w:drawing>
          <wp:anchor distT="0" distB="0" distL="114300" distR="114300" simplePos="0" relativeHeight="251656196" behindDoc="0" locked="1" layoutInCell="1" allowOverlap="1" wp14:anchorId="69194B6E" wp14:editId="4491EF0B">
            <wp:simplePos x="0" y="0"/>
            <wp:positionH relativeFrom="page">
              <wp:posOffset>914400</wp:posOffset>
            </wp:positionH>
            <wp:positionV relativeFrom="page">
              <wp:posOffset>2307590</wp:posOffset>
            </wp:positionV>
            <wp:extent cx="4060800" cy="2754000"/>
            <wp:effectExtent l="0" t="0" r="16510" b="8255"/>
            <wp:wrapSquare wrapText="bothSides"/>
            <wp:docPr id="1628127128" name="Chart 1" descr="Title: French service calls. &#10;&#10;Number of calls entered during the 2022-2023 fiscal year: 91; 2023-2024: 140; 2024-2025: 163.&#10;&#10;Number of calls accepted during the 2022-2023 fiscal year: 68; 2023-2024: 84; 2024-2025: 135.&#10;&#10;Percentage of appeals accepted during the 2022-2023 fiscal year: 75%; 2023-2024: 60%; 2024-2025: 83%.">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032481" w:rsidRPr="00CB687E">
        <w:t>4.3.5 French Language Services</w:t>
      </w:r>
      <w:bookmarkEnd w:id="94"/>
    </w:p>
    <w:p w14:paraId="75339E5D" w14:textId="6841F47B" w:rsidR="00526DB5" w:rsidRDefault="00032481">
      <w:pPr>
        <w:rPr>
          <w:rFonts w:cs="Tahoma"/>
        </w:rPr>
      </w:pPr>
      <w:r w:rsidRPr="00CB687E">
        <w:rPr>
          <w:rFonts w:cs="Tahoma"/>
        </w:rPr>
        <w:t>In 2024</w:t>
      </w:r>
      <w:r w:rsidR="00104198" w:rsidRPr="00104198">
        <w:rPr>
          <w:rFonts w:cs="Tahoma"/>
        </w:rPr>
        <w:t>–</w:t>
      </w:r>
      <w:r w:rsidR="00104198">
        <w:rPr>
          <w:rFonts w:cs="Tahoma"/>
        </w:rPr>
        <w:t>20</w:t>
      </w:r>
      <w:r w:rsidRPr="00CB687E">
        <w:rPr>
          <w:rFonts w:cs="Tahoma"/>
        </w:rPr>
        <w:t xml:space="preserve">25, the acceptance rate for French language service calls rose considerably (to 83%) due to increases in bilingual staffing as compared to the previous year. While staffing numbers may change year-to-year, </w:t>
      </w:r>
      <w:r w:rsidR="00887C5A" w:rsidRPr="00CB687E">
        <w:rPr>
          <w:rFonts w:cs="Tahoma"/>
        </w:rPr>
        <w:t xml:space="preserve">with retention of bilingual staff being a consistent challenge with existing HRLSC salary structures, </w:t>
      </w:r>
      <w:r w:rsidRPr="00CB687E">
        <w:rPr>
          <w:rFonts w:cs="Tahoma"/>
        </w:rPr>
        <w:t xml:space="preserve">the </w:t>
      </w:r>
      <w:r w:rsidR="00BE79F9">
        <w:rPr>
          <w:rFonts w:cs="Tahoma"/>
        </w:rPr>
        <w:t>Centre</w:t>
      </w:r>
      <w:r w:rsidR="00BE79F9" w:rsidRPr="00CB687E">
        <w:rPr>
          <w:rFonts w:cs="Tahoma"/>
        </w:rPr>
        <w:t xml:space="preserve"> </w:t>
      </w:r>
      <w:r w:rsidRPr="00CB687E">
        <w:rPr>
          <w:rFonts w:cs="Tahoma"/>
        </w:rPr>
        <w:t>remains committed to providing prompt service for callers seeking legal advice</w:t>
      </w:r>
      <w:r w:rsidR="00201C08" w:rsidRPr="00CB687E">
        <w:rPr>
          <w:rFonts w:cs="Tahoma"/>
        </w:rPr>
        <w:t xml:space="preserve"> provided in French</w:t>
      </w:r>
      <w:r w:rsidRPr="00CB687E">
        <w:rPr>
          <w:rFonts w:cs="Tahoma"/>
        </w:rPr>
        <w:t xml:space="preserve">. </w:t>
      </w:r>
    </w:p>
    <w:p w14:paraId="454CFD4E" w14:textId="77777777" w:rsidR="00526DB5" w:rsidRDefault="00526DB5">
      <w:pPr>
        <w:rPr>
          <w:rFonts w:cs="Tahoma"/>
        </w:rPr>
      </w:pPr>
      <w:r>
        <w:rPr>
          <w:rFonts w:cs="Tahoma"/>
        </w:rPr>
        <w:br w:type="page"/>
      </w:r>
    </w:p>
    <w:p w14:paraId="3A30A228" w14:textId="5ACEE473" w:rsidR="00032481" w:rsidRPr="00526DB5" w:rsidRDefault="00853E52" w:rsidP="00526DB5">
      <w:pPr>
        <w:pStyle w:val="Heading3"/>
      </w:pPr>
      <w:bookmarkStart w:id="95" w:name="_Toc204090283"/>
      <w:r>
        <w:rPr>
          <w:noProof/>
        </w:rPr>
        <w:lastRenderedPageBreak/>
        <w:drawing>
          <wp:anchor distT="0" distB="0" distL="114300" distR="114300" simplePos="0" relativeHeight="251660292" behindDoc="0" locked="0" layoutInCell="1" allowOverlap="1" wp14:anchorId="4E1F0677" wp14:editId="2D8C4593">
            <wp:simplePos x="0" y="0"/>
            <wp:positionH relativeFrom="column">
              <wp:posOffset>0</wp:posOffset>
            </wp:positionH>
            <wp:positionV relativeFrom="paragraph">
              <wp:posOffset>365760</wp:posOffset>
            </wp:positionV>
            <wp:extent cx="4060800" cy="2754317"/>
            <wp:effectExtent l="0" t="0" r="16510" b="8255"/>
            <wp:wrapSquare wrapText="bothSides"/>
            <wp:docPr id="443428360" name="Chart 1" descr="Title: Calls to ISOC. Number of calls received during the 2022-2023 fiscal year: 691; 2023-2024: 936; 2024-2025: 957.&#10;&#10;Number of calls accepted during the 2022-2023 fiscal year: 595; 2023-2024: 800; 2024-2025: 822.&#10;&#10;Percentage of appeals accepted during the 2022-2023 fiscal year: 86%; 2023-2024: 85%; 2024-2025: 86%.">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V relativeFrom="margin">
              <wp14:pctHeight>0</wp14:pctHeight>
            </wp14:sizeRelV>
          </wp:anchor>
        </w:drawing>
      </w:r>
      <w:r w:rsidR="00032481" w:rsidRPr="00CB687E">
        <w:t>4.3.6 Indigenous Services</w:t>
      </w:r>
      <w:bookmarkEnd w:id="95"/>
    </w:p>
    <w:p w14:paraId="7B38188A" w14:textId="27145467" w:rsidR="00032481" w:rsidRPr="00CB687E" w:rsidRDefault="00032481" w:rsidP="00032481">
      <w:pPr>
        <w:rPr>
          <w:rFonts w:cs="Tahoma"/>
        </w:rPr>
      </w:pPr>
      <w:r w:rsidRPr="00CB687E">
        <w:rPr>
          <w:rFonts w:cs="Tahoma"/>
        </w:rPr>
        <w:t>From 2022</w:t>
      </w:r>
      <w:r w:rsidR="00384694" w:rsidRPr="00384694">
        <w:rPr>
          <w:rFonts w:cs="Tahoma"/>
        </w:rPr>
        <w:t>–</w:t>
      </w:r>
      <w:r w:rsidR="00384694">
        <w:rPr>
          <w:rFonts w:cs="Tahoma"/>
        </w:rPr>
        <w:t>20</w:t>
      </w:r>
      <w:r w:rsidRPr="00CB687E">
        <w:rPr>
          <w:rFonts w:cs="Tahoma"/>
        </w:rPr>
        <w:t>23 to 2024</w:t>
      </w:r>
      <w:r w:rsidR="00384694" w:rsidRPr="00384694">
        <w:rPr>
          <w:rFonts w:cs="Tahoma"/>
        </w:rPr>
        <w:t>–</w:t>
      </w:r>
      <w:r w:rsidR="00384694">
        <w:rPr>
          <w:rFonts w:cs="Tahoma"/>
        </w:rPr>
        <w:t>20</w:t>
      </w:r>
      <w:r w:rsidRPr="00CB687E">
        <w:rPr>
          <w:rFonts w:cs="Tahoma"/>
        </w:rPr>
        <w:t xml:space="preserve">25 there was a substantial and identical rise in entered ISOC service calls (38% increase) and accepted calls (38% increase). </w:t>
      </w:r>
    </w:p>
    <w:p w14:paraId="2C74FF1C" w14:textId="36F0D264" w:rsidR="00AD3CC8" w:rsidRPr="00526DB5" w:rsidRDefault="00032481">
      <w:pPr>
        <w:rPr>
          <w:rFonts w:cs="Tahoma"/>
        </w:rPr>
      </w:pPr>
      <w:r w:rsidRPr="00CB687E">
        <w:rPr>
          <w:rFonts w:cs="Tahoma"/>
        </w:rPr>
        <w:t>ISOC’s dedicated work in terms of outreach and collaboration, particularly with entities such as the Ontario Federation of Indigenous Friendship Centres, has fostered greater awareness of the Centre’s services thereby contributing to these upward trends in service use and provision.</w:t>
      </w:r>
    </w:p>
    <w:p w14:paraId="4A3AE5FF" w14:textId="44E2839C" w:rsidR="00032481" w:rsidRPr="00526DB5" w:rsidRDefault="00857F58" w:rsidP="00526DB5">
      <w:pPr>
        <w:pStyle w:val="Heading3"/>
      </w:pPr>
      <w:bookmarkStart w:id="96" w:name="_Toc204090284"/>
      <w:r>
        <w:rPr>
          <w:noProof/>
        </w:rPr>
        <w:drawing>
          <wp:anchor distT="0" distB="0" distL="114300" distR="114300" simplePos="0" relativeHeight="251661316" behindDoc="0" locked="0" layoutInCell="1" allowOverlap="1" wp14:anchorId="3D2C45D3" wp14:editId="7955E44D">
            <wp:simplePos x="0" y="0"/>
            <wp:positionH relativeFrom="column">
              <wp:posOffset>0</wp:posOffset>
            </wp:positionH>
            <wp:positionV relativeFrom="paragraph">
              <wp:posOffset>629920</wp:posOffset>
            </wp:positionV>
            <wp:extent cx="4060190" cy="2808605"/>
            <wp:effectExtent l="0" t="0" r="16510" b="10795"/>
            <wp:wrapSquare wrapText="bothSides"/>
            <wp:docPr id="384441213" name="Chart 1" descr="Title: Calls from individuals in correctional facilities. &#10;&#10;Number of calls entered during the 2022-2023 fiscal year: 174; 2023-2024: 298; 2024-2025: 201.&#10;&#10;Number of appeals accepted during the 2022-2023 fiscal year: 136; 2023-2024: 252; 2024-2025: 169.&#10;&#10;Percentage of appeals accepted during the 2022-2023 fiscal year: 78%; 2023-2024: 85%; 2024-2025: 84%.">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V relativeFrom="margin">
              <wp14:pctHeight>0</wp14:pctHeight>
            </wp14:sizeRelV>
          </wp:anchor>
        </w:drawing>
      </w:r>
      <w:r w:rsidR="00032481" w:rsidRPr="00CB687E">
        <w:t>4.3.7 Service Line for Individuals in Correctional Facilities</w:t>
      </w:r>
      <w:bookmarkEnd w:id="96"/>
    </w:p>
    <w:p w14:paraId="509654BB" w14:textId="028BB66F" w:rsidR="00032481" w:rsidRPr="00CB687E" w:rsidRDefault="00032481" w:rsidP="00032481">
      <w:pPr>
        <w:rPr>
          <w:rFonts w:cs="Tahoma"/>
        </w:rPr>
      </w:pPr>
      <w:r w:rsidRPr="00CB687E">
        <w:rPr>
          <w:rFonts w:cs="Tahoma"/>
        </w:rPr>
        <w:t>Calls to the priority phone line for incarcerated individuals rose sharply from 2022</w:t>
      </w:r>
      <w:r w:rsidR="00A6044C" w:rsidRPr="00A6044C">
        <w:rPr>
          <w:rFonts w:cs="Tahoma"/>
        </w:rPr>
        <w:t>–</w:t>
      </w:r>
      <w:r w:rsidR="00A6044C">
        <w:rPr>
          <w:rFonts w:cs="Tahoma"/>
        </w:rPr>
        <w:t>20</w:t>
      </w:r>
      <w:r w:rsidRPr="00CB687E">
        <w:rPr>
          <w:rFonts w:cs="Tahoma"/>
        </w:rPr>
        <w:t>23 to 2023</w:t>
      </w:r>
      <w:r w:rsidR="00A6044C" w:rsidRPr="00A6044C">
        <w:rPr>
          <w:rFonts w:cs="Tahoma"/>
        </w:rPr>
        <w:t>–</w:t>
      </w:r>
      <w:r w:rsidR="00A6044C">
        <w:rPr>
          <w:rFonts w:cs="Tahoma"/>
        </w:rPr>
        <w:t>20</w:t>
      </w:r>
      <w:r w:rsidRPr="00CB687E">
        <w:rPr>
          <w:rFonts w:cs="Tahoma"/>
        </w:rPr>
        <w:t xml:space="preserve">24 in the context of a postering initiative, done in conjunction with the Ministry of the Solicitor General, which raised awareness of the Centre’s legal services among people held in correctional institutions. </w:t>
      </w:r>
    </w:p>
    <w:p w14:paraId="7ADB558F" w14:textId="7628C61D" w:rsidR="00032481" w:rsidRPr="00CB687E" w:rsidRDefault="00032481" w:rsidP="00032481">
      <w:pPr>
        <w:rPr>
          <w:rFonts w:cs="Tahoma"/>
        </w:rPr>
      </w:pPr>
      <w:r w:rsidRPr="00CB687E">
        <w:rPr>
          <w:rFonts w:cs="Tahoma"/>
        </w:rPr>
        <w:t xml:space="preserve">It is unclear why there was </w:t>
      </w:r>
      <w:r w:rsidR="002A6E8C" w:rsidRPr="00CB687E">
        <w:rPr>
          <w:rFonts w:cs="Tahoma"/>
        </w:rPr>
        <w:t>a decline</w:t>
      </w:r>
      <w:r w:rsidRPr="00CB687E">
        <w:rPr>
          <w:rFonts w:cs="Tahoma"/>
        </w:rPr>
        <w:t xml:space="preserve"> in calls from 2023</w:t>
      </w:r>
      <w:r w:rsidR="00A6044C" w:rsidRPr="00A6044C">
        <w:rPr>
          <w:rFonts w:cs="Tahoma"/>
        </w:rPr>
        <w:t>–</w:t>
      </w:r>
      <w:r w:rsidR="00A6044C">
        <w:rPr>
          <w:rFonts w:cs="Tahoma"/>
        </w:rPr>
        <w:t>20</w:t>
      </w:r>
      <w:r w:rsidRPr="00CB687E">
        <w:rPr>
          <w:rFonts w:cs="Tahoma"/>
        </w:rPr>
        <w:t>24 to 2024</w:t>
      </w:r>
      <w:r w:rsidR="00A6044C" w:rsidRPr="00A6044C">
        <w:rPr>
          <w:rFonts w:cs="Tahoma"/>
        </w:rPr>
        <w:t>–</w:t>
      </w:r>
      <w:r w:rsidR="00A6044C">
        <w:rPr>
          <w:rFonts w:cs="Tahoma"/>
        </w:rPr>
        <w:t>20</w:t>
      </w:r>
      <w:r w:rsidRPr="00CB687E">
        <w:rPr>
          <w:rFonts w:cs="Tahoma"/>
        </w:rPr>
        <w:t xml:space="preserve">25. In response, the Centre is exploring ways to extend awareness of its services for incarcerated individuals, including engaging in dialogue with the John Howard Society and Elizabeth Fry Society. </w:t>
      </w:r>
    </w:p>
    <w:p w14:paraId="4B6E5718" w14:textId="77777777" w:rsidR="00032481" w:rsidRPr="00CB687E" w:rsidRDefault="00032481" w:rsidP="00032481">
      <w:r w:rsidRPr="00CB687E">
        <w:br w:type="page"/>
      </w:r>
    </w:p>
    <w:p w14:paraId="19AC25A8" w14:textId="300FDCA9" w:rsidR="00731178" w:rsidRPr="00526DB5" w:rsidRDefault="00AB32DE" w:rsidP="00526DB5">
      <w:pPr>
        <w:pStyle w:val="Heading3"/>
      </w:pPr>
      <w:bookmarkStart w:id="97" w:name="_Toc204090285"/>
      <w:r>
        <w:rPr>
          <w:noProof/>
        </w:rPr>
        <w:lastRenderedPageBreak/>
        <w:drawing>
          <wp:anchor distT="0" distB="0" distL="114300" distR="114300" simplePos="0" relativeHeight="251665412" behindDoc="0" locked="0" layoutInCell="1" allowOverlap="1" wp14:anchorId="6B90FEDB" wp14:editId="6F245E3F">
            <wp:simplePos x="0" y="0"/>
            <wp:positionH relativeFrom="column">
              <wp:posOffset>-76200</wp:posOffset>
            </wp:positionH>
            <wp:positionV relativeFrom="paragraph">
              <wp:posOffset>411480</wp:posOffset>
            </wp:positionV>
            <wp:extent cx="3888000" cy="2353958"/>
            <wp:effectExtent l="0" t="0" r="17780" b="8255"/>
            <wp:wrapSquare wrapText="bothSides"/>
            <wp:docPr id="1998622612" name="Chart 1" descr="Title: Number of summary advice (Number of responses to inquiries).&#10;&#10;Number of responses to inquiries during the 2020-2021 fiscal year: 17,579; 2021-2022: 18,577; 2022-2023: 17,521; 2023-2024: 19,292; 2024-2025: 24,426.&#10;&#10;Five-year average (2020-2021 to 2024-2025): 19,47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731178" w:rsidRPr="00CB687E">
        <w:t>4.3.</w:t>
      </w:r>
      <w:r w:rsidR="00032481" w:rsidRPr="00CB687E">
        <w:t>8</w:t>
      </w:r>
      <w:r w:rsidR="00731178" w:rsidRPr="00CB687E">
        <w:t xml:space="preserve"> Summary Advice</w:t>
      </w:r>
      <w:bookmarkEnd w:id="97"/>
      <w:r w:rsidR="00731178" w:rsidRPr="00CB687E">
        <w:t xml:space="preserve"> </w:t>
      </w:r>
    </w:p>
    <w:p w14:paraId="17423FC1" w14:textId="5B1E64A8" w:rsidR="009B5833" w:rsidRPr="00CB687E" w:rsidRDefault="009B5833" w:rsidP="00731178">
      <w:pPr>
        <w:rPr>
          <w:rFonts w:cs="Tahoma"/>
        </w:rPr>
      </w:pPr>
      <w:r w:rsidRPr="00CB687E">
        <w:rPr>
          <w:rFonts w:cs="Tahoma"/>
        </w:rPr>
        <w:t>Summary advice includes responses to initial phone inquiries or intake inquiries by other communicative means (</w:t>
      </w:r>
      <w:r w:rsidR="00A6044C">
        <w:rPr>
          <w:rFonts w:cs="Tahoma"/>
        </w:rPr>
        <w:t xml:space="preserve">such as </w:t>
      </w:r>
      <w:r w:rsidR="009A2194">
        <w:rPr>
          <w:rFonts w:cs="Tahoma"/>
        </w:rPr>
        <w:t xml:space="preserve">via </w:t>
      </w:r>
      <w:r w:rsidRPr="00CB687E">
        <w:rPr>
          <w:rFonts w:cs="Tahoma"/>
        </w:rPr>
        <w:t xml:space="preserve">email or online portal inquiries). These intakes can include a series of phone calls between the HRLSC’s staff and a caller about the caller’s human rights concerns and issues, </w:t>
      </w:r>
      <w:r w:rsidR="00856EB5" w:rsidRPr="00CB687E">
        <w:rPr>
          <w:rFonts w:cs="Tahoma"/>
        </w:rPr>
        <w:t xml:space="preserve">and </w:t>
      </w:r>
      <w:r w:rsidRPr="00CB687E">
        <w:rPr>
          <w:rFonts w:cs="Tahoma"/>
        </w:rPr>
        <w:t xml:space="preserve">each call </w:t>
      </w:r>
      <w:r w:rsidR="00856EB5" w:rsidRPr="00CB687E">
        <w:rPr>
          <w:rFonts w:cs="Tahoma"/>
        </w:rPr>
        <w:t xml:space="preserve">will </w:t>
      </w:r>
      <w:r w:rsidRPr="00CB687E">
        <w:rPr>
          <w:rFonts w:cs="Tahoma"/>
        </w:rPr>
        <w:t>be counted separately.</w:t>
      </w:r>
    </w:p>
    <w:p w14:paraId="02A443EB" w14:textId="15BB4474" w:rsidR="00731178" w:rsidRPr="00CB687E" w:rsidRDefault="00731178" w:rsidP="00731178">
      <w:pPr>
        <w:rPr>
          <w:rFonts w:cs="Tahoma"/>
        </w:rPr>
      </w:pPr>
      <w:r w:rsidRPr="00CB687E">
        <w:rPr>
          <w:rFonts w:cs="Tahoma"/>
        </w:rPr>
        <w:t>From 2020</w:t>
      </w:r>
      <w:r w:rsidR="00A6044C" w:rsidRPr="00A6044C">
        <w:rPr>
          <w:rFonts w:cs="Tahoma"/>
        </w:rPr>
        <w:t>–</w:t>
      </w:r>
      <w:r w:rsidR="00A6044C">
        <w:rPr>
          <w:rFonts w:cs="Tahoma"/>
        </w:rPr>
        <w:t>20</w:t>
      </w:r>
      <w:r w:rsidRPr="00CB687E">
        <w:rPr>
          <w:rFonts w:cs="Tahoma"/>
        </w:rPr>
        <w:t>21 to 2023</w:t>
      </w:r>
      <w:r w:rsidR="00A6044C" w:rsidRPr="00A6044C">
        <w:rPr>
          <w:rFonts w:cs="Tahoma"/>
        </w:rPr>
        <w:t>–</w:t>
      </w:r>
      <w:r w:rsidR="00A6044C">
        <w:rPr>
          <w:rFonts w:cs="Tahoma"/>
        </w:rPr>
        <w:t>20</w:t>
      </w:r>
      <w:r w:rsidRPr="00CB687E">
        <w:rPr>
          <w:rFonts w:cs="Tahoma"/>
        </w:rPr>
        <w:t xml:space="preserve">24, the Centre provided summary advice an average of 18,242 times per year. Notably, the provision of summary advice on </w:t>
      </w:r>
      <w:bookmarkStart w:id="98" w:name="_Hlk215226932"/>
      <w:r w:rsidRPr="00CB687E">
        <w:rPr>
          <w:rFonts w:cs="Tahoma"/>
        </w:rPr>
        <w:t>24,426</w:t>
      </w:r>
      <w:bookmarkEnd w:id="98"/>
      <w:r w:rsidRPr="00CB687E">
        <w:rPr>
          <w:rFonts w:cs="Tahoma"/>
        </w:rPr>
        <w:t xml:space="preserve"> occasions in 2024</w:t>
      </w:r>
      <w:r w:rsidR="00A6044C" w:rsidRPr="00A6044C">
        <w:rPr>
          <w:rFonts w:cs="Tahoma"/>
        </w:rPr>
        <w:t>–</w:t>
      </w:r>
      <w:r w:rsidR="00A6044C">
        <w:rPr>
          <w:rFonts w:cs="Tahoma"/>
        </w:rPr>
        <w:t>20</w:t>
      </w:r>
      <w:r w:rsidRPr="00CB687E">
        <w:rPr>
          <w:rFonts w:cs="Tahoma"/>
        </w:rPr>
        <w:t>25 constituted a 34% increase over the preceding four years.</w:t>
      </w:r>
    </w:p>
    <w:p w14:paraId="3F9017C5" w14:textId="4C3DE09E" w:rsidR="00731178" w:rsidRPr="00110800" w:rsidRDefault="00AB32DE" w:rsidP="00F87763">
      <w:pPr>
        <w:spacing w:before="240"/>
        <w:rPr>
          <w:rFonts w:cs="Tahoma"/>
        </w:rPr>
      </w:pPr>
      <w:r>
        <w:rPr>
          <w:rFonts w:cs="Tahoma"/>
          <w:noProof/>
        </w:rPr>
        <w:drawing>
          <wp:anchor distT="0" distB="0" distL="114300" distR="114300" simplePos="0" relativeHeight="251666436" behindDoc="0" locked="0" layoutInCell="1" allowOverlap="1" wp14:anchorId="2680F0FC" wp14:editId="614095E3">
            <wp:simplePos x="0" y="0"/>
            <wp:positionH relativeFrom="column">
              <wp:posOffset>-76200</wp:posOffset>
            </wp:positionH>
            <wp:positionV relativeFrom="paragraph">
              <wp:posOffset>-158115</wp:posOffset>
            </wp:positionV>
            <wp:extent cx="3888000" cy="3168252"/>
            <wp:effectExtent l="0" t="0" r="17780" b="13335"/>
            <wp:wrapSquare wrapText="bothSides"/>
            <wp:docPr id="165618680" name="Chart 1" descr="Title: Increase in summary advice and applications.&#10;&#10;Number of summary advice cases handled by the HRLSC from 2020-2021 to 2023-2024 fiscal years (four-year average): 18,242. Number of applications received from the HRTO from 2020-2021 to 2023-2024 fiscal years (four-year average): 3,774.&#10;&#10;Number of summary advice cases handled by the HRLSC during the 2024-2025 fiscal year: 24,426. This represents a 34% increase over the average for the previous four years. Number of applications received from the HRTO during 2023-2024: 4,588. This represents a 22% increase over the average for the previous four years.">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731178" w:rsidRPr="00CB687E">
        <w:rPr>
          <w:rFonts w:cs="Tahoma"/>
        </w:rPr>
        <w:t>Importantly, the summary advice figures for 2024</w:t>
      </w:r>
      <w:r w:rsidR="00A6044C" w:rsidRPr="00A6044C">
        <w:rPr>
          <w:rFonts w:cs="Tahoma"/>
        </w:rPr>
        <w:t>–</w:t>
      </w:r>
      <w:r w:rsidR="00A6044C">
        <w:rPr>
          <w:rFonts w:cs="Tahoma"/>
        </w:rPr>
        <w:t>20</w:t>
      </w:r>
      <w:r w:rsidR="00731178" w:rsidRPr="00CB687E">
        <w:rPr>
          <w:rFonts w:cs="Tahoma"/>
        </w:rPr>
        <w:t>25 represent a return to the levels of summary advice the HRLSC reported in years prior to the pandemic. For example, there w</w:t>
      </w:r>
      <w:r w:rsidR="00856EB5" w:rsidRPr="00CB687E">
        <w:rPr>
          <w:rFonts w:cs="Tahoma"/>
        </w:rPr>
        <w:t>as</w:t>
      </w:r>
      <w:r w:rsidR="00731178" w:rsidRPr="00CB687E">
        <w:rPr>
          <w:rFonts w:cs="Tahoma"/>
        </w:rPr>
        <w:t xml:space="preserve"> an average of 23,955 inquiries from 2016</w:t>
      </w:r>
      <w:r w:rsidR="00A6044C" w:rsidRPr="00A6044C">
        <w:rPr>
          <w:rFonts w:cs="Tahoma"/>
        </w:rPr>
        <w:t>–</w:t>
      </w:r>
      <w:r w:rsidR="00A6044C">
        <w:rPr>
          <w:rFonts w:cs="Tahoma"/>
        </w:rPr>
        <w:t>20</w:t>
      </w:r>
      <w:r w:rsidR="00731178" w:rsidRPr="00CB687E">
        <w:rPr>
          <w:rFonts w:cs="Tahoma"/>
        </w:rPr>
        <w:t>17 to 2018</w:t>
      </w:r>
      <w:r w:rsidR="00A6044C" w:rsidRPr="00A6044C">
        <w:rPr>
          <w:rFonts w:cs="Tahoma"/>
        </w:rPr>
        <w:t>–</w:t>
      </w:r>
      <w:r w:rsidR="00A6044C">
        <w:rPr>
          <w:rFonts w:cs="Tahoma"/>
        </w:rPr>
        <w:t>20</w:t>
      </w:r>
      <w:r w:rsidR="00731178" w:rsidRPr="00CB687E">
        <w:rPr>
          <w:rFonts w:cs="Tahoma"/>
        </w:rPr>
        <w:t>19 (</w:t>
      </w:r>
      <w:hyperlink r:id="rId56" w:history="1">
        <w:r w:rsidR="00A6044C">
          <w:rPr>
            <w:rStyle w:val="Hyperlink"/>
            <w:rFonts w:cs="Tahoma"/>
          </w:rPr>
          <w:t>2023–2024 HRLSC Annual Report</w:t>
        </w:r>
      </w:hyperlink>
      <w:r w:rsidR="00731178" w:rsidRPr="00CB687E">
        <w:rPr>
          <w:rFonts w:cs="Tahoma"/>
        </w:rPr>
        <w:t xml:space="preserve">, pg. 34). </w:t>
      </w:r>
    </w:p>
    <w:p w14:paraId="15ECAD4C" w14:textId="72877FF6" w:rsidR="00731178" w:rsidRPr="00CB687E" w:rsidRDefault="1F6C7275" w:rsidP="00731178">
      <w:pPr>
        <w:rPr>
          <w:rFonts w:cs="Tahoma"/>
        </w:rPr>
      </w:pPr>
      <w:r w:rsidRPr="00CB687E">
        <w:rPr>
          <w:rFonts w:cs="Tahoma"/>
        </w:rPr>
        <w:t xml:space="preserve">The upward trend in summary advice reflects the increasing demand for and use of HRLSC services by Ontarians. This may be partially explained by increases in applications received by the HRTO, since many Applicants are referred to the HRLSC </w:t>
      </w:r>
      <w:r w:rsidR="5D16BA88" w:rsidRPr="285EF893">
        <w:rPr>
          <w:rFonts w:cs="Tahoma"/>
        </w:rPr>
        <w:t xml:space="preserve">by </w:t>
      </w:r>
      <w:r w:rsidRPr="00CB687E">
        <w:rPr>
          <w:rFonts w:cs="Tahoma"/>
        </w:rPr>
        <w:t>the HRTO. In this regard, from 2020/21 to 2023/24, the HRTO received an average of 3,774 applications per year (</w:t>
      </w:r>
      <w:hyperlink r:id="rId57" w:history="1">
        <w:r w:rsidRPr="00CB687E">
          <w:rPr>
            <w:rStyle w:val="Hyperlink"/>
            <w:rFonts w:cs="Tahoma"/>
          </w:rPr>
          <w:t>HRTO 2023/24 Annual Report</w:t>
        </w:r>
      </w:hyperlink>
      <w:r w:rsidRPr="00CB687E">
        <w:rPr>
          <w:rFonts w:cs="Tahoma"/>
        </w:rPr>
        <w:t>, Table 1). Although full 2024</w:t>
      </w:r>
      <w:r w:rsidR="5AEFB69F" w:rsidRPr="285EF893">
        <w:rPr>
          <w:rFonts w:cs="Tahoma"/>
        </w:rPr>
        <w:t>–20</w:t>
      </w:r>
      <w:r w:rsidRPr="00CB687E">
        <w:rPr>
          <w:rFonts w:cs="Tahoma"/>
        </w:rPr>
        <w:t>25 application numbers are not yet available, in Q1 2024</w:t>
      </w:r>
      <w:r w:rsidR="5AEFB69F" w:rsidRPr="285EF893">
        <w:rPr>
          <w:rFonts w:cs="Tahoma"/>
        </w:rPr>
        <w:t>–20</w:t>
      </w:r>
      <w:r w:rsidRPr="00CB687E">
        <w:rPr>
          <w:rFonts w:cs="Tahoma"/>
        </w:rPr>
        <w:t xml:space="preserve">25 the </w:t>
      </w:r>
      <w:r w:rsidRPr="00CB687E">
        <w:rPr>
          <w:rFonts w:cs="Tahoma"/>
        </w:rPr>
        <w:lastRenderedPageBreak/>
        <w:t>HRTO received 1,147 applications, which, projected over the remaining quarters, would equal 4,588 applications</w:t>
      </w:r>
      <w:r w:rsidR="00731178" w:rsidRPr="00CB687E">
        <w:rPr>
          <w:rStyle w:val="FootnoteReference"/>
          <w:rFonts w:cs="Tahoma"/>
        </w:rPr>
        <w:footnoteReference w:id="4"/>
      </w:r>
      <w:r w:rsidRPr="00CB687E">
        <w:rPr>
          <w:rFonts w:cs="Tahoma"/>
        </w:rPr>
        <w:t xml:space="preserve"> - a 22% increase over the preceding four years. </w:t>
      </w:r>
    </w:p>
    <w:p w14:paraId="0BC74DAB" w14:textId="190F01E9" w:rsidR="00731178" w:rsidRPr="00CB687E" w:rsidRDefault="00731178" w:rsidP="00731178">
      <w:pPr>
        <w:rPr>
          <w:rFonts w:cs="Tahoma"/>
        </w:rPr>
      </w:pPr>
      <w:r w:rsidRPr="00CB687E">
        <w:rPr>
          <w:rFonts w:cs="Tahoma"/>
        </w:rPr>
        <w:t>However, the 22% increase in HRTO applications does not entirely correspond with, and thus explain, the 34% increase in HRLSC summary advice in percentage terms. Other possible causal factors include increased prevalence and/or reporting of discrimination claims among Ontarians, increased HRLSC media/public outreach and public awareness of HRLSC services (as evidenced this year in the 30% rise in HRLSC website visits and 300% increase in media coverage and mentions of HRLSC compared to the previous year).</w:t>
      </w:r>
      <w:r w:rsidR="00856EB5" w:rsidRPr="00CB687E">
        <w:rPr>
          <w:rFonts w:cs="Tahoma"/>
        </w:rPr>
        <w:t xml:space="preserve"> Furthermore, this coverage about the success of complaints brought before the HRTO may influence people to make applications, with the prospect that the system </w:t>
      </w:r>
      <w:r w:rsidR="00F60A35">
        <w:rPr>
          <w:rFonts w:cs="Tahoma"/>
        </w:rPr>
        <w:t>“</w:t>
      </w:r>
      <w:r w:rsidR="00856EB5" w:rsidRPr="00CB687E">
        <w:rPr>
          <w:rFonts w:cs="Tahoma"/>
        </w:rPr>
        <w:t>does work.</w:t>
      </w:r>
      <w:r w:rsidR="00F60A35">
        <w:rPr>
          <w:rFonts w:cs="Tahoma"/>
        </w:rPr>
        <w:t>”</w:t>
      </w:r>
      <w:r w:rsidR="00856EB5" w:rsidRPr="00CB687E">
        <w:rPr>
          <w:rFonts w:cs="Tahoma"/>
        </w:rPr>
        <w:t xml:space="preserve"> </w:t>
      </w:r>
      <w:r w:rsidRPr="00CB687E">
        <w:rPr>
          <w:rFonts w:cs="Tahoma"/>
        </w:rPr>
        <w:t>Increased efficiency and productivity within the HRLSC’s intake system and among intake staff may have also contributed to this outcome.</w:t>
      </w:r>
    </w:p>
    <w:p w14:paraId="3C3E6173" w14:textId="3B37D88E" w:rsidR="00731178" w:rsidRPr="00B741AD" w:rsidRDefault="00B741AD" w:rsidP="00B741AD">
      <w:pPr>
        <w:pStyle w:val="Heading3"/>
      </w:pPr>
      <w:bookmarkStart w:id="99" w:name="_Toc204090286"/>
      <w:r w:rsidRPr="0015063E">
        <w:rPr>
          <w:noProof/>
        </w:rPr>
        <w:drawing>
          <wp:anchor distT="0" distB="0" distL="114300" distR="114300" simplePos="0" relativeHeight="251667460" behindDoc="1" locked="1" layoutInCell="1" allowOverlap="1" wp14:anchorId="18327ADF" wp14:editId="05C3212D">
            <wp:simplePos x="0" y="0"/>
            <wp:positionH relativeFrom="page">
              <wp:posOffset>922020</wp:posOffset>
            </wp:positionH>
            <wp:positionV relativeFrom="page">
              <wp:posOffset>3564255</wp:posOffset>
            </wp:positionV>
            <wp:extent cx="4564800" cy="2278800"/>
            <wp:effectExtent l="0" t="0" r="7620" b="7620"/>
            <wp:wrapSquare wrapText="bothSides"/>
            <wp:docPr id="1399796154" name="Chart 1" descr="Title: Legal services – Number of individual in-depth legal service interviews provided.&#10;&#10;Number of interviews for fiscal year 2020-2021: 1,930; 2021-2022: 2,034; 2022-2023: 1,693; 2023-2024: 1,676; 2024-2025: 1,373.">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731178" w:rsidRPr="00CB687E">
        <w:t>4.3.</w:t>
      </w:r>
      <w:r w:rsidR="00032481" w:rsidRPr="00CB687E">
        <w:t>9</w:t>
      </w:r>
      <w:r w:rsidR="00731178" w:rsidRPr="00CB687E">
        <w:t xml:space="preserve"> Legal Service Interviews</w:t>
      </w:r>
      <w:bookmarkEnd w:id="99"/>
    </w:p>
    <w:p w14:paraId="402D3A44" w14:textId="75137255" w:rsidR="00731178" w:rsidRPr="00CB687E" w:rsidRDefault="27046133" w:rsidP="00731178">
      <w:pPr>
        <w:rPr>
          <w:rFonts w:cs="Tahoma"/>
        </w:rPr>
      </w:pPr>
      <w:r w:rsidRPr="00CB687E">
        <w:rPr>
          <w:rFonts w:cs="Tahoma"/>
        </w:rPr>
        <w:t>Overall,</w:t>
      </w:r>
      <w:r w:rsidR="1F6C7275" w:rsidRPr="00CB687E">
        <w:rPr>
          <w:rFonts w:cs="Tahoma"/>
        </w:rPr>
        <w:t xml:space="preserve"> the HRLSC’s in-depth legal service interview capacity has continued to decline over this past year</w:t>
      </w:r>
      <w:r w:rsidR="00E70572" w:rsidRPr="00E70572">
        <w:rPr>
          <w:rFonts w:cs="Tahoma"/>
        </w:rPr>
        <w:t>—</w:t>
      </w:r>
      <w:r w:rsidR="1F6C7275" w:rsidRPr="00CB687E">
        <w:rPr>
          <w:rFonts w:cs="Tahoma"/>
        </w:rPr>
        <w:t xml:space="preserve"> down 18% from an estimated</w:t>
      </w:r>
      <w:r w:rsidR="00731178" w:rsidRPr="00CB687E">
        <w:rPr>
          <w:rStyle w:val="FootnoteReference"/>
          <w:rFonts w:cs="Tahoma"/>
        </w:rPr>
        <w:footnoteReference w:id="5"/>
      </w:r>
      <w:r w:rsidR="1F6C7275" w:rsidRPr="00CB687E">
        <w:rPr>
          <w:rFonts w:cs="Tahoma"/>
        </w:rPr>
        <w:t xml:space="preserve"> 1676 in </w:t>
      </w:r>
      <w:r w:rsidR="3D8986EF" w:rsidRPr="285EF893">
        <w:rPr>
          <w:rFonts w:cs="Tahoma"/>
        </w:rPr>
        <w:t>20</w:t>
      </w:r>
      <w:r w:rsidR="1F6C7275" w:rsidRPr="00CB687E">
        <w:rPr>
          <w:rFonts w:cs="Tahoma"/>
        </w:rPr>
        <w:t>23</w:t>
      </w:r>
      <w:r w:rsidR="3D8986EF" w:rsidRPr="285EF893">
        <w:rPr>
          <w:rFonts w:cs="Tahoma"/>
        </w:rPr>
        <w:t>–20</w:t>
      </w:r>
      <w:r w:rsidR="1F6C7275" w:rsidRPr="00CB687E">
        <w:rPr>
          <w:rFonts w:cs="Tahoma"/>
        </w:rPr>
        <w:t xml:space="preserve">24 to 1373 in </w:t>
      </w:r>
      <w:r w:rsidR="3D8986EF" w:rsidRPr="285EF893">
        <w:rPr>
          <w:rFonts w:cs="Tahoma"/>
        </w:rPr>
        <w:t>20</w:t>
      </w:r>
      <w:r w:rsidR="1F6C7275" w:rsidRPr="00CB687E">
        <w:rPr>
          <w:rFonts w:cs="Tahoma"/>
        </w:rPr>
        <w:t>24</w:t>
      </w:r>
      <w:r w:rsidR="3D8986EF" w:rsidRPr="285EF893">
        <w:rPr>
          <w:rFonts w:cs="Tahoma"/>
        </w:rPr>
        <w:t>–20</w:t>
      </w:r>
      <w:r w:rsidR="1F6C7275" w:rsidRPr="00CB687E">
        <w:rPr>
          <w:rFonts w:cs="Tahoma"/>
        </w:rPr>
        <w:t>25. This is in keeping with the five-year trend, and can be attributed to a number of factors, including ongoing high counsel turnover rates and decreasing counsel and legal staffing numbers and capacity, primarily due to static funding, inflationary pressures, and the ending of a time-limited federal grant,</w:t>
      </w:r>
      <w:r w:rsidR="00731178" w:rsidRPr="00CB687E">
        <w:rPr>
          <w:rStyle w:val="FootnoteReference"/>
          <w:rFonts w:cs="Tahoma"/>
        </w:rPr>
        <w:footnoteReference w:id="6"/>
      </w:r>
      <w:r w:rsidR="1F6C7275" w:rsidRPr="00CB687E">
        <w:rPr>
          <w:rFonts w:cs="Tahoma"/>
        </w:rPr>
        <w:t xml:space="preserve"> which led to staff reductions. Also impacting this decline was the </w:t>
      </w:r>
      <w:r w:rsidR="1F6C7275" w:rsidRPr="00CB687E">
        <w:rPr>
          <w:rFonts w:cs="Tahoma"/>
        </w:rPr>
        <w:lastRenderedPageBreak/>
        <w:t xml:space="preserve">HRLSC’s reduction in the number of monthly counsel interviews this past fiscal year (from </w:t>
      </w:r>
      <w:r w:rsidR="0023623C">
        <w:rPr>
          <w:rFonts w:cs="Tahoma"/>
        </w:rPr>
        <w:t>seven</w:t>
      </w:r>
      <w:r w:rsidR="1F6C7275" w:rsidRPr="00CB687E">
        <w:rPr>
          <w:rFonts w:cs="Tahoma"/>
        </w:rPr>
        <w:t xml:space="preserve"> to </w:t>
      </w:r>
      <w:r w:rsidR="0023623C">
        <w:rPr>
          <w:rFonts w:cs="Tahoma"/>
        </w:rPr>
        <w:t>five</w:t>
      </w:r>
      <w:r w:rsidR="1F6C7275" w:rsidRPr="00CB687E">
        <w:rPr>
          <w:rFonts w:cs="Tahoma"/>
        </w:rPr>
        <w:t xml:space="preserve"> per month per counsel), due to counsel capacity concerns</w:t>
      </w:r>
      <w:r w:rsidR="5F89EB1A" w:rsidRPr="285EF893">
        <w:rPr>
          <w:rFonts w:cs="Tahoma"/>
        </w:rPr>
        <w:t xml:space="preserve"> and</w:t>
      </w:r>
      <w:r w:rsidR="1F6C7275" w:rsidRPr="00CB687E">
        <w:rPr>
          <w:rFonts w:cs="Tahoma"/>
        </w:rPr>
        <w:t xml:space="preserve"> the October 2023 cybersecurity incident. Counsel needed time to re-input data into the HRLSC’s case management and file record systems, which decreased counsel availability for client legal services.</w:t>
      </w:r>
      <w:r w:rsidR="00731178" w:rsidRPr="00CB687E">
        <w:rPr>
          <w:rStyle w:val="FootnoteReference"/>
          <w:rFonts w:cs="Tahoma"/>
        </w:rPr>
        <w:footnoteReference w:id="7"/>
      </w:r>
      <w:r w:rsidR="1F6C7275" w:rsidRPr="00CB687E">
        <w:rPr>
          <w:rFonts w:cs="Tahoma"/>
        </w:rPr>
        <w:t xml:space="preserve"> The cybersecurity incident also impacted the scheduling of hearings </w:t>
      </w:r>
      <w:r w:rsidR="5D16BA88" w:rsidRPr="285EF893">
        <w:rPr>
          <w:rFonts w:cs="Tahoma"/>
        </w:rPr>
        <w:t xml:space="preserve">at the HRTO </w:t>
      </w:r>
      <w:r w:rsidR="1F6C7275" w:rsidRPr="00CB687E">
        <w:rPr>
          <w:rFonts w:cs="Tahoma"/>
        </w:rPr>
        <w:t>from 2024 onward, requiring the HRLSC’s cancellation and rescheduling of HRTO hearings due to the closure of the Centre’s offices</w:t>
      </w:r>
      <w:r w:rsidR="00731178" w:rsidRPr="00CB687E">
        <w:rPr>
          <w:rStyle w:val="FootnoteReference"/>
          <w:rFonts w:cs="Tahoma"/>
        </w:rPr>
        <w:footnoteReference w:id="8"/>
      </w:r>
      <w:r w:rsidR="1F6C7275" w:rsidRPr="00CB687E">
        <w:rPr>
          <w:rFonts w:cs="Tahoma"/>
        </w:rPr>
        <w:t xml:space="preserve"> and information retrieval efforts, which resulted in hearing delays into this fiscal year </w:t>
      </w:r>
      <w:r w:rsidR="00B741AD" w:rsidRPr="0015063E">
        <w:rPr>
          <w:noProof/>
        </w:rPr>
        <w:drawing>
          <wp:anchor distT="0" distB="0" distL="114300" distR="114300" simplePos="0" relativeHeight="251668484" behindDoc="0" locked="1" layoutInCell="1" allowOverlap="1" wp14:anchorId="19970559" wp14:editId="29DC6A8E">
            <wp:simplePos x="0" y="0"/>
            <wp:positionH relativeFrom="column">
              <wp:posOffset>-3810</wp:posOffset>
            </wp:positionH>
            <wp:positionV relativeFrom="page">
              <wp:posOffset>2505710</wp:posOffset>
            </wp:positionV>
            <wp:extent cx="4060800" cy="2754000"/>
            <wp:effectExtent l="0" t="0" r="16510" b="8255"/>
            <wp:wrapSquare wrapText="bothSides"/>
            <wp:docPr id="22550265" name="Chart 1" descr="Title: Indigenous services – interviews (number of individuals).&#10;&#10;Interviews related to applications during the 2020-2021 fiscal year: 102; 2021-2022: 102; 2022-2023: 66; 2023-2024: 90; 2024-2025: 68.&#10;&#10;Mediation interviews during the 2020-2021 fiscal year: 17; 2021-2022: 7; 2022-2023: 14; 2023-2024: 22; 2024-2025: 33.&#10;&#10;Hearing-related interviews during the 2020-2021 fiscal year: 2; 2021-2022: 2; 2022-2023: 3; 2023-2024: 6; 2024-2025: 6.">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rsidR="1F6C7275" w:rsidRPr="00CB687E">
        <w:rPr>
          <w:rFonts w:cs="Tahoma"/>
        </w:rPr>
        <w:t xml:space="preserve">(some of which have yet to be rescheduled by the HRTO) and ultimately fewer hearing interviews. </w:t>
      </w:r>
    </w:p>
    <w:p w14:paraId="38B33D14" w14:textId="550A2B1E" w:rsidR="00B741AD" w:rsidRDefault="00731178" w:rsidP="00B741AD">
      <w:pPr>
        <w:rPr>
          <w:rFonts w:cs="Tahoma"/>
        </w:rPr>
      </w:pPr>
      <w:r w:rsidRPr="00CB687E">
        <w:rPr>
          <w:rFonts w:cs="Tahoma"/>
        </w:rPr>
        <w:t>The HRLSC continues to actively seek out new and expanded sources of core funding and to provide competitive salaries for its counsel, as demonstrated by the Centre’s adoption of a new Compensation Philosophy this past fiscal year (</w:t>
      </w:r>
      <w:r w:rsidR="00670158" w:rsidRPr="00CB687E">
        <w:rPr>
          <w:rFonts w:cs="Tahoma"/>
        </w:rPr>
        <w:t>as discussed in</w:t>
      </w:r>
      <w:r w:rsidRPr="00CB687E">
        <w:rPr>
          <w:rFonts w:cs="Tahoma"/>
        </w:rPr>
        <w:t xml:space="preserve"> section </w:t>
      </w:r>
      <w:r w:rsidR="00670158" w:rsidRPr="00CB687E">
        <w:rPr>
          <w:rFonts w:cs="Tahoma"/>
        </w:rPr>
        <w:t>8</w:t>
      </w:r>
      <w:r w:rsidRPr="00CB687E">
        <w:rPr>
          <w:rFonts w:cs="Tahoma"/>
        </w:rPr>
        <w:t xml:space="preserve">). </w:t>
      </w:r>
    </w:p>
    <w:p w14:paraId="5892BB82" w14:textId="6DAA07F3" w:rsidR="001E2278" w:rsidRPr="00B741AD" w:rsidRDefault="001E2278" w:rsidP="00B741AD">
      <w:pPr>
        <w:pStyle w:val="Heading4"/>
        <w:rPr>
          <w:rFonts w:cstheme="minorBidi"/>
        </w:rPr>
      </w:pPr>
      <w:r w:rsidRPr="00CB687E">
        <w:t>Indigenous Services</w:t>
      </w:r>
    </w:p>
    <w:p w14:paraId="284B1F5B" w14:textId="15BB606D" w:rsidR="001E2278" w:rsidRPr="00CB687E" w:rsidRDefault="001E2278" w:rsidP="001E2278">
      <w:pPr>
        <w:rPr>
          <w:rFonts w:cs="Tahoma"/>
        </w:rPr>
      </w:pPr>
      <w:r w:rsidRPr="00CB687E">
        <w:rPr>
          <w:rFonts w:cs="Tahoma"/>
        </w:rPr>
        <w:t xml:space="preserve">ISOC activity tends to reflect broader patterns of activity at the Centre. Pre-application interviews have gone down generally while mediations have increased, two trends that are </w:t>
      </w:r>
      <w:r w:rsidR="003E5975" w:rsidRPr="00CB687E">
        <w:rPr>
          <w:rFonts w:cs="Tahoma"/>
        </w:rPr>
        <w:t xml:space="preserve">also </w:t>
      </w:r>
      <w:r w:rsidRPr="00CB687E">
        <w:rPr>
          <w:rFonts w:cs="Tahoma"/>
        </w:rPr>
        <w:t xml:space="preserve">evident in ISOC data on application interviews and mediations. </w:t>
      </w:r>
    </w:p>
    <w:p w14:paraId="6B8E88AF" w14:textId="32ABF717" w:rsidR="00731178" w:rsidRPr="00000D70" w:rsidRDefault="00CD5AAB" w:rsidP="00000D70">
      <w:pPr>
        <w:pStyle w:val="Heading3"/>
      </w:pPr>
      <w:bookmarkStart w:id="100" w:name="_Toc204090287"/>
      <w:r w:rsidRPr="0015063E">
        <w:rPr>
          <w:noProof/>
        </w:rPr>
        <w:lastRenderedPageBreak/>
        <w:drawing>
          <wp:anchor distT="0" distB="0" distL="114300" distR="114300" simplePos="0" relativeHeight="251669508" behindDoc="0" locked="1" layoutInCell="1" allowOverlap="1" wp14:anchorId="1BDD4A89" wp14:editId="07F08DB3">
            <wp:simplePos x="0" y="0"/>
            <wp:positionH relativeFrom="column">
              <wp:posOffset>-60960</wp:posOffset>
            </wp:positionH>
            <wp:positionV relativeFrom="page">
              <wp:posOffset>1285240</wp:posOffset>
            </wp:positionV>
            <wp:extent cx="3834000" cy="2905200"/>
            <wp:effectExtent l="0" t="0" r="14605" b="9525"/>
            <wp:wrapSquare wrapText="bothSides"/>
            <wp:docPr id="1477053832" name="Chart 1" descr="Title: Mediations attended.&#10;&#10;Attendance at mediation sessions during the 2020-2021 fiscal year: 281; 2021-2022: 181; 2022-2023: 236; 2023-2024: 298; 2024-2025: 249.&#10;&#10;Five-year average from 2020-2021 to 2024-2025: 25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sidR="00731178" w:rsidRPr="00CB687E">
        <w:t>4.3.</w:t>
      </w:r>
      <w:r w:rsidR="00032481" w:rsidRPr="00CB687E">
        <w:t>10</w:t>
      </w:r>
      <w:r w:rsidR="00731178" w:rsidRPr="00CB687E">
        <w:t xml:space="preserve"> Mediations Attended</w:t>
      </w:r>
      <w:bookmarkEnd w:id="100"/>
    </w:p>
    <w:p w14:paraId="753F4D7F" w14:textId="23D4B838" w:rsidR="00731178" w:rsidRPr="00CB687E" w:rsidRDefault="00731178" w:rsidP="00E4752E">
      <w:pPr>
        <w:jc w:val="both"/>
        <w:rPr>
          <w:rFonts w:cs="Tahoma"/>
        </w:rPr>
      </w:pPr>
      <w:r w:rsidRPr="00CB687E">
        <w:rPr>
          <w:rFonts w:cs="Tahoma"/>
        </w:rPr>
        <w:t>Despite reductions in staff, the Centre’s attendance at mediations has remained steady, with 2024</w:t>
      </w:r>
      <w:r w:rsidR="002A320B" w:rsidRPr="002A320B">
        <w:rPr>
          <w:rFonts w:cs="Tahoma"/>
        </w:rPr>
        <w:t>–</w:t>
      </w:r>
      <w:r w:rsidR="002A320B">
        <w:rPr>
          <w:rFonts w:cs="Tahoma"/>
        </w:rPr>
        <w:t>20</w:t>
      </w:r>
      <w:r w:rsidRPr="00CB687E">
        <w:rPr>
          <w:rFonts w:cs="Tahoma"/>
        </w:rPr>
        <w:t xml:space="preserve">25 attendance in line with the </w:t>
      </w:r>
      <w:r w:rsidR="00C70D97">
        <w:rPr>
          <w:rFonts w:cs="Tahoma"/>
        </w:rPr>
        <w:t>five</w:t>
      </w:r>
      <w:r w:rsidRPr="00CB687E">
        <w:rPr>
          <w:rFonts w:cs="Tahoma"/>
        </w:rPr>
        <w:t xml:space="preserve">-year average. This rate of attendance at mediation reflects HRLSC’s strategic prioritization of early resolution efforts in its new </w:t>
      </w:r>
      <w:r w:rsidR="00C70D97">
        <w:rPr>
          <w:rFonts w:cs="Tahoma"/>
        </w:rPr>
        <w:t>five</w:t>
      </w:r>
      <w:r w:rsidRPr="00CB687E">
        <w:rPr>
          <w:rFonts w:cs="Tahoma"/>
        </w:rPr>
        <w:t>-year Strategic Plan. This priority developed in response to stakeholder feedback and client demand.</w:t>
      </w:r>
    </w:p>
    <w:p w14:paraId="2B21D5BA" w14:textId="5C829388" w:rsidR="00731178" w:rsidRDefault="1F6C7275" w:rsidP="00E4752E">
      <w:pPr>
        <w:jc w:val="both"/>
        <w:rPr>
          <w:rFonts w:cs="Tahoma"/>
        </w:rPr>
      </w:pPr>
      <w:r w:rsidRPr="00CB687E">
        <w:rPr>
          <w:rFonts w:cs="Tahoma"/>
        </w:rPr>
        <w:t>While the HRLSC remains cognizant of the fact that alternative resolution is not always appropriate or the most just outcome for our clients, the HRLSC always honours and respects the decision of our clients on whether or not to agree to a settlement, and our client survey results for those who were represented by HRLSC in mediations suggest that our represented clients were very pleased with the service and the outcome.</w:t>
      </w:r>
      <w:r w:rsidR="00731178" w:rsidRPr="00CB687E">
        <w:rPr>
          <w:rStyle w:val="FootnoteReference"/>
          <w:rFonts w:cs="Tahoma"/>
        </w:rPr>
        <w:footnoteReference w:id="9"/>
      </w:r>
      <w:r w:rsidRPr="00CB687E">
        <w:rPr>
          <w:rFonts w:cs="Tahoma"/>
        </w:rPr>
        <w:t xml:space="preserve"> </w:t>
      </w:r>
    </w:p>
    <w:p w14:paraId="46F58267" w14:textId="0CF68285" w:rsidR="00731178" w:rsidRPr="00000D70" w:rsidRDefault="00731178" w:rsidP="00000D70">
      <w:pPr>
        <w:pStyle w:val="Heading3"/>
      </w:pPr>
      <w:bookmarkStart w:id="101" w:name="_Toc204090288"/>
      <w:r w:rsidRPr="00CB687E">
        <w:t>4.3.</w:t>
      </w:r>
      <w:r w:rsidR="00032481" w:rsidRPr="00CB687E">
        <w:t>11</w:t>
      </w:r>
      <w:r w:rsidRPr="00CB687E">
        <w:t xml:space="preserve"> Hearings Attended</w:t>
      </w:r>
      <w:bookmarkEnd w:id="101"/>
    </w:p>
    <w:p w14:paraId="45E1E98F" w14:textId="594AFCD7" w:rsidR="00731178" w:rsidRPr="00CB687E" w:rsidRDefault="1F6C7275" w:rsidP="00731178">
      <w:pPr>
        <w:rPr>
          <w:rFonts w:cs="Tahoma"/>
        </w:rPr>
      </w:pPr>
      <w:r w:rsidRPr="00CB687E">
        <w:rPr>
          <w:rFonts w:cs="Tahoma"/>
        </w:rPr>
        <w:t>In 2024</w:t>
      </w:r>
      <w:r w:rsidR="092F0BEC" w:rsidRPr="285EF893">
        <w:rPr>
          <w:rFonts w:cs="Tahoma"/>
        </w:rPr>
        <w:t>–20</w:t>
      </w:r>
      <w:r w:rsidRPr="00CB687E">
        <w:rPr>
          <w:rFonts w:cs="Tahoma"/>
        </w:rPr>
        <w:t>25, the Centre attended a total of 44 hearings, 38 of which were pre-merit and post-merit hearings while the remaining six were merit hearings. The significant reduction in the HRLSC’s hearing attendance as it compares to previous years</w:t>
      </w:r>
      <w:r w:rsidR="00731178" w:rsidRPr="00CB687E">
        <w:rPr>
          <w:rStyle w:val="FootnoteReference"/>
          <w:rFonts w:cs="Tahoma"/>
        </w:rPr>
        <w:footnoteReference w:id="10"/>
      </w:r>
      <w:r w:rsidRPr="00CB687E">
        <w:rPr>
          <w:rFonts w:cs="Tahoma"/>
        </w:rPr>
        <w:t xml:space="preserve"> has been </w:t>
      </w:r>
      <w:proofErr w:type="gramStart"/>
      <w:r w:rsidRPr="00CB687E">
        <w:rPr>
          <w:rFonts w:cs="Tahoma"/>
        </w:rPr>
        <w:t>impacted</w:t>
      </w:r>
      <w:proofErr w:type="gramEnd"/>
      <w:r w:rsidRPr="00CB687E">
        <w:rPr>
          <w:rFonts w:cs="Tahoma"/>
        </w:rPr>
        <w:t xml:space="preserve"> by a number of factors (</w:t>
      </w:r>
      <w:r w:rsidR="1F601417" w:rsidRPr="00CB687E">
        <w:rPr>
          <w:rFonts w:cs="Tahoma"/>
        </w:rPr>
        <w:t>like</w:t>
      </w:r>
      <w:r w:rsidRPr="00CB687E">
        <w:rPr>
          <w:rFonts w:cs="Tahoma"/>
        </w:rPr>
        <w:t xml:space="preserve"> those impacting legal interviews) </w:t>
      </w:r>
      <w:r w:rsidR="3A842F35" w:rsidRPr="00CB687E">
        <w:rPr>
          <w:rFonts w:cs="Tahoma"/>
        </w:rPr>
        <w:t>including:</w:t>
      </w:r>
    </w:p>
    <w:p w14:paraId="06C9FC4D" w14:textId="67186F0A" w:rsidR="00731178" w:rsidRPr="00CB687E" w:rsidRDefault="00E4752E" w:rsidP="00D35098">
      <w:pPr>
        <w:pStyle w:val="ListParagraph"/>
        <w:numPr>
          <w:ilvl w:val="0"/>
          <w:numId w:val="17"/>
        </w:numPr>
        <w:suppressAutoHyphens/>
        <w:autoSpaceDN w:val="0"/>
        <w:spacing w:after="0" w:line="240" w:lineRule="auto"/>
        <w:contextualSpacing w:val="0"/>
        <w:jc w:val="both"/>
        <w:textAlignment w:val="baseline"/>
        <w:rPr>
          <w:rFonts w:cs="Tahoma"/>
        </w:rPr>
      </w:pPr>
      <w:r w:rsidRPr="0015063E">
        <w:rPr>
          <w:noProof/>
        </w:rPr>
        <w:lastRenderedPageBreak/>
        <w:drawing>
          <wp:anchor distT="0" distB="0" distL="114300" distR="114300" simplePos="0" relativeHeight="251671556" behindDoc="0" locked="1" layoutInCell="1" allowOverlap="1" wp14:anchorId="6F184601" wp14:editId="3278C3C6">
            <wp:simplePos x="0" y="0"/>
            <wp:positionH relativeFrom="margin">
              <wp:posOffset>3870325</wp:posOffset>
            </wp:positionH>
            <wp:positionV relativeFrom="margin">
              <wp:posOffset>-17780</wp:posOffset>
            </wp:positionV>
            <wp:extent cx="4334400" cy="3013200"/>
            <wp:effectExtent l="0" t="0" r="9525" b="15875"/>
            <wp:wrapSquare wrapText="bothSides"/>
            <wp:docPr id="693498713" name="Chart 1" descr="Title: Attendance at HRTO hearings. Five-year average: 50 (2020-2021 to 2024-2025).&#10;&#10;Attendance at pre and post-merit hearings in fiscal year 2020-2021: 8;  in fiscal year 2021-2022: 6; in fiscal year 2022-2023: 84; in fiscal year 2023-2024: 64; in fiscal year 2024-2025: 38.&#10;&#10;Attendance at merit hearings in fiscal year 2020-2021: 14; in fiscal year 2021-2022: 2; in fiscal year 2022-2023: 17; in fiscal year 2023-2024: 12; in fiscal year 2024-2025: 6.  ">
              <a:extLst xmlns:a="http://schemas.openxmlformats.org/drawingml/2006/main">
                <a:ext uri="{FF2B5EF4-FFF2-40B4-BE49-F238E27FC236}">
                  <a16:creationId xmlns:a16="http://schemas.microsoft.com/office/drawing/2014/main" id="{FA206A1D-0F6F-18D0-84B3-9B69EB76B4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1F6C7275" w:rsidRPr="00CB687E">
        <w:rPr>
          <w:rFonts w:cs="Tahoma"/>
        </w:rPr>
        <w:t>decreasing counsel and legal staffing numbers and capacity, primarily due to static funding, inflationary pressures, and the ending of a time-limited federal grant at the end of the last fiscal year,</w:t>
      </w:r>
      <w:r w:rsidR="00731178" w:rsidRPr="00CB687E">
        <w:rPr>
          <w:rStyle w:val="FootnoteReference"/>
          <w:rFonts w:cs="Tahoma"/>
        </w:rPr>
        <w:footnoteReference w:id="11"/>
      </w:r>
      <w:r w:rsidR="1F6C7275" w:rsidRPr="00CB687E">
        <w:rPr>
          <w:rFonts w:cs="Tahoma"/>
        </w:rPr>
        <w:t xml:space="preserve"> which led to staff reductions</w:t>
      </w:r>
      <w:r w:rsidR="00731178" w:rsidRPr="00CB687E">
        <w:rPr>
          <w:rStyle w:val="FootnoteReference"/>
          <w:rFonts w:cs="Tahoma"/>
        </w:rPr>
        <w:footnoteReference w:id="12"/>
      </w:r>
      <w:r w:rsidR="1F6C7275" w:rsidRPr="00CB687E">
        <w:rPr>
          <w:rFonts w:cs="Tahoma"/>
        </w:rPr>
        <w:t xml:space="preserve">; </w:t>
      </w:r>
    </w:p>
    <w:p w14:paraId="0DE0D84A" w14:textId="5560E169" w:rsidR="00731178" w:rsidRPr="00CB687E" w:rsidRDefault="00731178" w:rsidP="00D35098">
      <w:pPr>
        <w:pStyle w:val="ListParagraph"/>
        <w:numPr>
          <w:ilvl w:val="0"/>
          <w:numId w:val="17"/>
        </w:numPr>
        <w:suppressAutoHyphens/>
        <w:autoSpaceDN w:val="0"/>
        <w:spacing w:after="0" w:line="240" w:lineRule="auto"/>
        <w:contextualSpacing w:val="0"/>
        <w:jc w:val="both"/>
        <w:textAlignment w:val="baseline"/>
        <w:rPr>
          <w:rFonts w:cs="Tahoma"/>
        </w:rPr>
      </w:pPr>
      <w:r w:rsidRPr="00CB687E">
        <w:rPr>
          <w:rFonts w:cs="Tahoma"/>
        </w:rPr>
        <w:t xml:space="preserve">reductions in the number of monthly </w:t>
      </w:r>
      <w:proofErr w:type="gramStart"/>
      <w:r w:rsidRPr="00CB687E">
        <w:rPr>
          <w:rFonts w:cs="Tahoma"/>
        </w:rPr>
        <w:t>counsel</w:t>
      </w:r>
      <w:proofErr w:type="gramEnd"/>
      <w:r w:rsidRPr="00CB687E">
        <w:rPr>
          <w:rFonts w:cs="Tahoma"/>
        </w:rPr>
        <w:t xml:space="preserve"> interviews this past fiscal year (including hearing retainer interviews) for the Centre due to counsel capacity concerns, as a result of the aforementioned cyber security incident; </w:t>
      </w:r>
    </w:p>
    <w:p w14:paraId="05D638D9" w14:textId="51D50F41" w:rsidR="00731178" w:rsidRPr="00CB687E" w:rsidRDefault="00731178" w:rsidP="00D35098">
      <w:pPr>
        <w:pStyle w:val="ListParagraph"/>
        <w:numPr>
          <w:ilvl w:val="0"/>
          <w:numId w:val="17"/>
        </w:numPr>
        <w:suppressAutoHyphens/>
        <w:autoSpaceDN w:val="0"/>
        <w:spacing w:line="240" w:lineRule="auto"/>
        <w:contextualSpacing w:val="0"/>
        <w:jc w:val="both"/>
        <w:textAlignment w:val="baseline"/>
        <w:rPr>
          <w:rFonts w:cs="Tahoma"/>
        </w:rPr>
      </w:pPr>
      <w:r w:rsidRPr="00CB687E">
        <w:rPr>
          <w:rFonts w:cs="Tahoma"/>
        </w:rPr>
        <w:t>the HRLSC’s cancellation and rescheduling of HRTO hearings due to the 2023 cybersecurity incident that resulted in the closure of HRLSC’s offices and thus hearing delays into this fiscal year (some of which have yet to be rescheduled by the HRTO) and ultimately fewer hearings.</w:t>
      </w:r>
    </w:p>
    <w:p w14:paraId="33C20AFF" w14:textId="6B8EF9F7" w:rsidR="00731178" w:rsidRPr="00CB687E" w:rsidRDefault="1F6C7275" w:rsidP="00E4752E">
      <w:pPr>
        <w:jc w:val="both"/>
        <w:rPr>
          <w:rFonts w:cs="Tahoma"/>
        </w:rPr>
      </w:pPr>
      <w:r w:rsidRPr="00CB687E">
        <w:rPr>
          <w:rFonts w:cs="Tahoma"/>
        </w:rPr>
        <w:t>The HRLSC engaged in more court-based litigation this past fiscal year, as compared to the previous year, and court-based hearings are not reflected in HRTO hearing attendance statistics.</w:t>
      </w:r>
      <w:r w:rsidR="00731178" w:rsidRPr="00CB687E">
        <w:rPr>
          <w:rStyle w:val="FootnoteReference"/>
          <w:rFonts w:cs="Tahoma"/>
        </w:rPr>
        <w:footnoteReference w:id="13"/>
      </w:r>
      <w:r w:rsidRPr="00CB687E">
        <w:rPr>
          <w:rFonts w:cs="Tahoma"/>
        </w:rPr>
        <w:t xml:space="preserve"> It should thus be noted that the number of HRTO hearings does not always accurately reflect counsel workload and capacity, as some hearings (</w:t>
      </w:r>
      <w:r w:rsidR="35B5ADCB" w:rsidRPr="285EF893">
        <w:rPr>
          <w:rFonts w:cs="Tahoma"/>
        </w:rPr>
        <w:t xml:space="preserve">such as </w:t>
      </w:r>
      <w:r w:rsidRPr="00CB687E">
        <w:rPr>
          <w:rFonts w:cs="Tahoma"/>
        </w:rPr>
        <w:t xml:space="preserve">judicial reviews, complex cases, public-interest litigation) can be much more time-consuming than others and extend beyond the HRTO process. </w:t>
      </w:r>
    </w:p>
    <w:p w14:paraId="68A8A7F1" w14:textId="56954698" w:rsidR="00731178" w:rsidRPr="00CB687E" w:rsidRDefault="00731178" w:rsidP="00E4752E">
      <w:pPr>
        <w:jc w:val="both"/>
        <w:rPr>
          <w:rFonts w:cs="Tahoma"/>
        </w:rPr>
      </w:pPr>
      <w:r w:rsidRPr="00CB687E">
        <w:rPr>
          <w:rFonts w:cs="Tahoma"/>
        </w:rPr>
        <w:t>Finaly, it should be noted here that the sharp rise in pre-merit and post-merit hearings from 2020</w:t>
      </w:r>
      <w:r w:rsidR="003F5EDE" w:rsidRPr="003F5EDE">
        <w:rPr>
          <w:rFonts w:cs="Tahoma"/>
        </w:rPr>
        <w:t>–</w:t>
      </w:r>
      <w:r w:rsidR="003F5EDE">
        <w:rPr>
          <w:rFonts w:cs="Tahoma"/>
        </w:rPr>
        <w:t>20</w:t>
      </w:r>
      <w:r w:rsidRPr="00CB687E">
        <w:rPr>
          <w:rFonts w:cs="Tahoma"/>
        </w:rPr>
        <w:t>21 to 2022</w:t>
      </w:r>
      <w:r w:rsidR="00324309" w:rsidRPr="00324309">
        <w:rPr>
          <w:rFonts w:cs="Tahoma"/>
        </w:rPr>
        <w:t>–</w:t>
      </w:r>
      <w:r w:rsidR="00324309">
        <w:rPr>
          <w:rFonts w:cs="Tahoma"/>
        </w:rPr>
        <w:t>20</w:t>
      </w:r>
      <w:r w:rsidRPr="00CB687E">
        <w:rPr>
          <w:rFonts w:cs="Tahoma"/>
        </w:rPr>
        <w:t xml:space="preserve">23 was due in part to a redefinition on the part of the HRLSC of pre-merit hearings to include the growing and various types of HRTO procedural hearings introduced by the HRTO at the pre-merit hearing phase in recent years, in the context of HRTO </w:t>
      </w:r>
      <w:r w:rsidRPr="00CB687E">
        <w:rPr>
          <w:rFonts w:cs="Tahoma"/>
        </w:rPr>
        <w:lastRenderedPageBreak/>
        <w:t xml:space="preserve">efforts to alleviate and prevent further backlogs. The HRTO procedural changes caused an increase in pre-merit hearings, while merit hearings declined. In response, the Centre pivoted and revised its client tracking system to capture much of the pre-merit hearing work that was not previously recorded. </w:t>
      </w:r>
    </w:p>
    <w:p w14:paraId="6F6A5660" w14:textId="37C21DE5" w:rsidR="00731178" w:rsidRPr="00E4752E" w:rsidRDefault="00F50733" w:rsidP="00E4752E">
      <w:pPr>
        <w:pStyle w:val="Heading3"/>
      </w:pPr>
      <w:bookmarkStart w:id="102" w:name="_Toc204090289"/>
      <w:r w:rsidRPr="0015063E">
        <w:rPr>
          <w:noProof/>
        </w:rPr>
        <w:drawing>
          <wp:anchor distT="0" distB="0" distL="114300" distR="114300" simplePos="0" relativeHeight="251672580" behindDoc="0" locked="1" layoutInCell="1" allowOverlap="1" wp14:anchorId="33EAB675" wp14:editId="5DFB6229">
            <wp:simplePos x="0" y="0"/>
            <wp:positionH relativeFrom="column">
              <wp:posOffset>-50165</wp:posOffset>
            </wp:positionH>
            <wp:positionV relativeFrom="page">
              <wp:posOffset>1962150</wp:posOffset>
            </wp:positionV>
            <wp:extent cx="4060800" cy="2754000"/>
            <wp:effectExtent l="0" t="0" r="16510" b="8255"/>
            <wp:wrapSquare wrapText="bothSides"/>
            <wp:docPr id="1089705492" name="Chart 1" descr="Title: Number of settlements. Five-year average: 225 (2020-2021 to 2024-2025). Number of settlements concluded in fiscal year 2020-2021: 279; Number of settlements concluded in fiscal year 2021-2022: 180;  Number of settlements reached in fiscal year 2022-2023: 242; Number of settlements reached in fiscal year 2023-2024: 220; Number of settlements reached in fiscal year 2024-2025: 204.  ">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731178" w:rsidRPr="00CB687E">
        <w:t>4.3.</w:t>
      </w:r>
      <w:r w:rsidR="00032481" w:rsidRPr="00CB687E">
        <w:t>12</w:t>
      </w:r>
      <w:r w:rsidR="00731178" w:rsidRPr="00CB687E">
        <w:t xml:space="preserve"> Settlements</w:t>
      </w:r>
      <w:bookmarkEnd w:id="102"/>
    </w:p>
    <w:p w14:paraId="36A68206" w14:textId="08C9788E" w:rsidR="00E4752E" w:rsidRDefault="00731178" w:rsidP="00E4752E">
      <w:pPr>
        <w:spacing w:line="276" w:lineRule="auto"/>
        <w:jc w:val="both"/>
        <w:rPr>
          <w:rFonts w:eastAsiaTheme="minorEastAsia" w:cs="Tahoma"/>
          <w:lang w:val="en-US"/>
        </w:rPr>
      </w:pPr>
      <w:r w:rsidRPr="00000D70">
        <w:rPr>
          <w:rFonts w:cs="Tahoma"/>
        </w:rPr>
        <w:t xml:space="preserve">Settlements, which mainly occur at mediation or pre-hearing stages, declined moderately </w:t>
      </w:r>
      <w:r w:rsidR="6F47112A" w:rsidRPr="00000D70">
        <w:rPr>
          <w:rFonts w:cs="Tahoma"/>
        </w:rPr>
        <w:t xml:space="preserve">to 204 </w:t>
      </w:r>
      <w:r w:rsidRPr="00000D70">
        <w:rPr>
          <w:rFonts w:cs="Tahoma"/>
        </w:rPr>
        <w:t>in 2024</w:t>
      </w:r>
      <w:r w:rsidR="00900EC7" w:rsidRPr="00000D70">
        <w:rPr>
          <w:rFonts w:cs="Tahoma"/>
        </w:rPr>
        <w:t>–20</w:t>
      </w:r>
      <w:r w:rsidRPr="00000D70">
        <w:rPr>
          <w:rFonts w:cs="Tahoma"/>
        </w:rPr>
        <w:t>25</w:t>
      </w:r>
      <w:r w:rsidR="27BC2E76" w:rsidRPr="00000D70">
        <w:rPr>
          <w:rFonts w:cs="Tahoma"/>
        </w:rPr>
        <w:t>,</w:t>
      </w:r>
      <w:r w:rsidR="00C528CF" w:rsidRPr="00000D70">
        <w:rPr>
          <w:rFonts w:cs="Tahoma"/>
        </w:rPr>
        <w:t xml:space="preserve"> </w:t>
      </w:r>
      <w:r w:rsidRPr="00000D70">
        <w:rPr>
          <w:rFonts w:cs="Tahoma"/>
        </w:rPr>
        <w:t xml:space="preserve">in relation to the average number of settlements (230) over the preceding </w:t>
      </w:r>
      <w:r w:rsidR="001A4D56" w:rsidRPr="00000D70">
        <w:rPr>
          <w:rFonts w:cs="Tahoma"/>
        </w:rPr>
        <w:t>four</w:t>
      </w:r>
      <w:r w:rsidRPr="00000D70">
        <w:rPr>
          <w:rFonts w:cs="Tahoma"/>
        </w:rPr>
        <w:t xml:space="preserve"> years. This slight drop took place in the context of the Centre having </w:t>
      </w:r>
      <w:r w:rsidR="008C78F1" w:rsidRPr="00000D70">
        <w:rPr>
          <w:rFonts w:cs="Tahoma"/>
        </w:rPr>
        <w:t xml:space="preserve">experienced </w:t>
      </w:r>
      <w:r w:rsidR="008C78F1" w:rsidRPr="00000D70">
        <w:rPr>
          <w:rFonts w:eastAsia="Aptos" w:cs="Tahoma"/>
          <w:lang w:val="en-US"/>
        </w:rPr>
        <w:t>reductions</w:t>
      </w:r>
      <w:r w:rsidR="62D8ED46" w:rsidRPr="00000D70">
        <w:rPr>
          <w:rFonts w:eastAsiaTheme="minorEastAsia" w:cs="Tahoma"/>
          <w:lang w:val="en-US"/>
        </w:rPr>
        <w:t xml:space="preserve"> in legal staffing capacity due to strained resources.</w:t>
      </w:r>
    </w:p>
    <w:p w14:paraId="34229C34" w14:textId="4715520B" w:rsidR="00E4752E" w:rsidRDefault="00F20F3F">
      <w:pPr>
        <w:rPr>
          <w:rFonts w:eastAsiaTheme="minorEastAsia" w:cs="Tahoma"/>
          <w:lang w:val="en-US"/>
        </w:rPr>
      </w:pPr>
      <w:r w:rsidRPr="00F50733">
        <w:rPr>
          <w:rFonts w:cs="Tahoma"/>
          <w:noProof/>
        </w:rPr>
        <mc:AlternateContent>
          <mc:Choice Requires="wps">
            <w:drawing>
              <wp:anchor distT="91440" distB="91440" distL="114300" distR="114300" simplePos="0" relativeHeight="251695108" behindDoc="0" locked="0" layoutInCell="1" allowOverlap="1" wp14:anchorId="466CC5C0" wp14:editId="7F74E016">
                <wp:simplePos x="0" y="0"/>
                <wp:positionH relativeFrom="page">
                  <wp:posOffset>866775</wp:posOffset>
                </wp:positionH>
                <wp:positionV relativeFrom="paragraph">
                  <wp:posOffset>1975485</wp:posOffset>
                </wp:positionV>
                <wp:extent cx="8448675" cy="1333500"/>
                <wp:effectExtent l="0" t="0" r="0" b="0"/>
                <wp:wrapTopAndBottom/>
                <wp:docPr id="1516661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8675" cy="1333500"/>
                        </a:xfrm>
                        <a:prstGeom prst="rect">
                          <a:avLst/>
                        </a:prstGeom>
                        <a:noFill/>
                        <a:ln w="9525">
                          <a:noFill/>
                          <a:miter lim="800000"/>
                          <a:headEnd/>
                          <a:tailEnd/>
                        </a:ln>
                      </wps:spPr>
                      <wps:txbx>
                        <w:txbxContent>
                          <w:p w14:paraId="776EC524" w14:textId="2D4C2564" w:rsidR="00FB7F5A" w:rsidRPr="00FB7F5A" w:rsidRDefault="00F60A35" w:rsidP="00FB7F5A">
                            <w:pPr>
                              <w:pBdr>
                                <w:top w:val="single" w:sz="24" w:space="8" w:color="156082" w:themeColor="accent1"/>
                                <w:bottom w:val="single" w:sz="24" w:space="8" w:color="156082" w:themeColor="accent1"/>
                              </w:pBdr>
                              <w:rPr>
                                <w:i/>
                                <w:iCs/>
                                <w:color w:val="156082" w:themeColor="accent1"/>
                                <w:sz w:val="32"/>
                                <w:szCs w:val="32"/>
                              </w:rPr>
                            </w:pPr>
                            <w:r>
                              <w:rPr>
                                <w:i/>
                                <w:iCs/>
                                <w:color w:val="156082" w:themeColor="accent1"/>
                                <w:sz w:val="32"/>
                                <w:szCs w:val="32"/>
                              </w:rPr>
                              <w:t>’’</w:t>
                            </w:r>
                            <w:r w:rsidR="00FB7F5A" w:rsidRPr="00FB7F5A">
                              <w:rPr>
                                <w:i/>
                                <w:iCs/>
                                <w:color w:val="156082" w:themeColor="accent1"/>
                                <w:sz w:val="32"/>
                                <w:szCs w:val="32"/>
                              </w:rPr>
                              <w:t>Thank you for representing me. YOU ARE AN AMAZING LAWYER. You provided more substance than I could have imagined. You spoke very elegantly and very professionally.”</w:t>
                            </w:r>
                          </w:p>
                          <w:p w14:paraId="0167B659" w14:textId="4923A49C" w:rsidR="00F20F3F" w:rsidRPr="00FB7F5A" w:rsidRDefault="00FB7F5A" w:rsidP="00F20F3F">
                            <w:pPr>
                              <w:pBdr>
                                <w:top w:val="single" w:sz="24" w:space="8" w:color="156082" w:themeColor="accent1"/>
                                <w:bottom w:val="single" w:sz="24" w:space="8" w:color="156082" w:themeColor="accent1"/>
                              </w:pBdr>
                              <w:spacing w:after="0"/>
                              <w:rPr>
                                <w:i/>
                                <w:iCs/>
                                <w:color w:val="156082" w:themeColor="accent1"/>
                                <w:sz w:val="32"/>
                                <w:szCs w:val="32"/>
                              </w:rPr>
                            </w:pPr>
                            <w:r w:rsidRPr="00FB7F5A">
                              <w:rPr>
                                <w:i/>
                                <w:iCs/>
                                <w:color w:val="156082" w:themeColor="accent1"/>
                                <w:sz w:val="32"/>
                                <w:szCs w:val="32"/>
                              </w:rPr>
                              <w:t>– HRLSC Client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CC5C0" id="_x0000_s1036" type="#_x0000_t202" style="position:absolute;margin-left:68.25pt;margin-top:155.55pt;width:665.25pt;height:105pt;z-index:25169510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" filled="f" stroked="f">
                <v:textbox>
                  <w:txbxContent>
                    <w:p w14:paraId="776EC524" w14:textId="2D4C2564" w:rsidR="00FB7F5A" w:rsidRPr="00FB7F5A" w:rsidRDefault="00F60A35" w:rsidP="00FB7F5A">
                      <w:pPr>
                        <w:pBdr>
                          <w:top w:val="single" w:sz="24" w:space="8" w:color="156082" w:themeColor="accent1"/>
                          <w:bottom w:val="single" w:sz="24" w:space="8" w:color="156082" w:themeColor="accent1"/>
                        </w:pBdr>
                        <w:rPr>
                          <w:i/>
                          <w:iCs/>
                          <w:color w:val="156082" w:themeColor="accent1"/>
                          <w:sz w:val="32"/>
                          <w:szCs w:val="32"/>
                        </w:rPr>
                      </w:pPr>
                      <w:r>
                        <w:rPr>
                          <w:i/>
                          <w:iCs/>
                          <w:color w:val="156082" w:themeColor="accent1"/>
                          <w:sz w:val="32"/>
                          <w:szCs w:val="32"/>
                        </w:rPr>
                        <w:t>’’</w:t>
                      </w:r>
                      <w:r w:rsidR="00FB7F5A" w:rsidRPr="00FB7F5A">
                        <w:rPr>
                          <w:i/>
                          <w:iCs/>
                          <w:color w:val="156082" w:themeColor="accent1"/>
                          <w:sz w:val="32"/>
                          <w:szCs w:val="32"/>
                        </w:rPr>
                        <w:t>Thank you for representing me. YOU ARE AN AMAZING LAWYER. You provided more substance than I could have imagined. You spoke very elegantly and very professionally.”</w:t>
                      </w:r>
                    </w:p>
                    <w:p w14:paraId="0167B659" w14:textId="4923A49C" w:rsidR="00F20F3F" w:rsidRPr="00FB7F5A" w:rsidRDefault="00FB7F5A" w:rsidP="00F20F3F">
                      <w:pPr>
                        <w:pBdr>
                          <w:top w:val="single" w:sz="24" w:space="8" w:color="156082" w:themeColor="accent1"/>
                          <w:bottom w:val="single" w:sz="24" w:space="8" w:color="156082" w:themeColor="accent1"/>
                        </w:pBdr>
                        <w:spacing w:after="0"/>
                        <w:rPr>
                          <w:i/>
                          <w:iCs/>
                          <w:color w:val="156082" w:themeColor="accent1"/>
                          <w:sz w:val="32"/>
                          <w:szCs w:val="32"/>
                        </w:rPr>
                      </w:pPr>
                      <w:r w:rsidRPr="00FB7F5A">
                        <w:rPr>
                          <w:i/>
                          <w:iCs/>
                          <w:color w:val="156082" w:themeColor="accent1"/>
                          <w:sz w:val="32"/>
                          <w:szCs w:val="32"/>
                        </w:rPr>
                        <w:t>– HRLSC Client</w:t>
                      </w:r>
                    </w:p>
                  </w:txbxContent>
                </v:textbox>
                <w10:wrap type="topAndBottom" anchorx="page"/>
              </v:shape>
            </w:pict>
          </mc:Fallback>
        </mc:AlternateContent>
      </w:r>
      <w:r w:rsidR="00E4752E">
        <w:rPr>
          <w:rFonts w:eastAsiaTheme="minorEastAsia" w:cs="Tahoma"/>
          <w:lang w:val="en-US"/>
        </w:rPr>
        <w:br w:type="page"/>
      </w:r>
    </w:p>
    <w:p w14:paraId="04BD93E4" w14:textId="77777777" w:rsidR="00F50733" w:rsidRDefault="00F50733" w:rsidP="00D35098">
      <w:pPr>
        <w:pStyle w:val="Heading1"/>
        <w:numPr>
          <w:ilvl w:val="0"/>
          <w:numId w:val="13"/>
        </w:numPr>
        <w:sectPr w:rsidR="00F50733" w:rsidSect="004700F7">
          <w:headerReference w:type="first" r:id="rId63"/>
          <w:footerReference w:type="first" r:id="rId64"/>
          <w:pgSz w:w="15840" w:h="12240" w:orient="landscape"/>
          <w:pgMar w:top="1440" w:right="1440" w:bottom="1440" w:left="1440" w:header="720" w:footer="720" w:gutter="0"/>
          <w:cols w:space="720"/>
          <w:titlePg/>
          <w:docGrid w:linePitch="360"/>
        </w:sectPr>
      </w:pPr>
    </w:p>
    <w:p w14:paraId="3DC99929" w14:textId="400CA413" w:rsidR="000C779F" w:rsidRPr="00CB687E" w:rsidRDefault="004F4A58" w:rsidP="00D35098">
      <w:pPr>
        <w:pStyle w:val="Heading1"/>
        <w:numPr>
          <w:ilvl w:val="0"/>
          <w:numId w:val="13"/>
        </w:numPr>
      </w:pPr>
      <w:bookmarkStart w:id="103" w:name="_Toc204090290"/>
      <w:r w:rsidRPr="00CB687E">
        <w:lastRenderedPageBreak/>
        <w:t>Performance Measures</w:t>
      </w:r>
      <w:bookmarkEnd w:id="103"/>
    </w:p>
    <w:p w14:paraId="035C8E4A" w14:textId="6E488F75" w:rsidR="00032481" w:rsidRPr="00363AE6" w:rsidRDefault="00032481" w:rsidP="00363AE6">
      <w:pPr>
        <w:pStyle w:val="Heading2"/>
      </w:pPr>
      <w:bookmarkStart w:id="104" w:name="_Toc204090291"/>
      <w:r w:rsidRPr="00CB687E">
        <w:t>5.1 OBP Performance Measures, Targets &amp; Results for 2024</w:t>
      </w:r>
      <w:r w:rsidR="00256896" w:rsidRPr="00256896">
        <w:t>–</w:t>
      </w:r>
      <w:r w:rsidR="00256896">
        <w:t>20</w:t>
      </w:r>
      <w:r w:rsidRPr="00CB687E">
        <w:t>25</w:t>
      </w:r>
      <w:bookmarkEnd w:id="104"/>
    </w:p>
    <w:p w14:paraId="10CB5B6B" w14:textId="77777777" w:rsidR="00032481" w:rsidRPr="00CB687E" w:rsidRDefault="00032481" w:rsidP="00032481">
      <w:pPr>
        <w:pStyle w:val="Heading3"/>
      </w:pPr>
      <w:bookmarkStart w:id="105" w:name="_Toc204090292"/>
      <w:r w:rsidRPr="00CB687E">
        <w:t>Access to legal information &amp; advice</w:t>
      </w:r>
      <w:bookmarkEnd w:id="105"/>
    </w:p>
    <w:p w14:paraId="6F955003" w14:textId="4A3F4340" w:rsidR="00032481" w:rsidRPr="00363AE6" w:rsidRDefault="00032481" w:rsidP="00032481">
      <w:pPr>
        <w:rPr>
          <w:rFonts w:cs="Tahoma"/>
        </w:rPr>
      </w:pPr>
      <w:r w:rsidRPr="00CB687E">
        <w:rPr>
          <w:rFonts w:cs="Tahoma"/>
          <w:i/>
          <w:iCs/>
        </w:rPr>
        <w:t>Performance Measure:</w:t>
      </w:r>
      <w:r w:rsidRPr="00CB687E">
        <w:rPr>
          <w:rFonts w:cs="Tahoma"/>
        </w:rPr>
        <w:t xml:space="preserve"> Ontarians who believe they have experienced discrimination have access to human rights legal information and advice. </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88"/>
        <w:gridCol w:w="5992"/>
        <w:gridCol w:w="1832"/>
      </w:tblGrid>
      <w:tr w:rsidR="00032481" w:rsidRPr="00CB687E" w14:paraId="03DC7E50" w14:textId="77777777" w:rsidTr="00363AE6">
        <w:trPr>
          <w:trHeight w:val="743"/>
        </w:trPr>
        <w:tc>
          <w:tcPr>
            <w:tcW w:w="1395" w:type="dxa"/>
            <w:tcBorders>
              <w:bottom w:val="single" w:sz="48" w:space="0" w:color="auto"/>
            </w:tcBorders>
            <w:shd w:val="clear" w:color="auto" w:fill="E8E8E8" w:themeFill="background2"/>
            <w:tcMar>
              <w:top w:w="72" w:type="dxa"/>
              <w:left w:w="144" w:type="dxa"/>
              <w:bottom w:w="72" w:type="dxa"/>
              <w:right w:w="144" w:type="dxa"/>
            </w:tcMar>
            <w:vAlign w:val="center"/>
            <w:hideMark/>
          </w:tcPr>
          <w:p w14:paraId="4E2B779A" w14:textId="5F61FB4C" w:rsidR="00032481" w:rsidRPr="00000D70" w:rsidRDefault="00032481" w:rsidP="00363AE6">
            <w:pPr>
              <w:rPr>
                <w:rFonts w:eastAsia="Times New Roman" w:cs="Tahoma"/>
                <w:color w:val="0D0D0D" w:themeColor="text1" w:themeTint="F2"/>
                <w:kern w:val="0"/>
                <w14:ligatures w14:val="none"/>
              </w:rPr>
            </w:pPr>
            <w:r w:rsidRPr="00000D70">
              <w:rPr>
                <w:rFonts w:eastAsia="Times New Roman" w:cs="Tahoma"/>
                <w:b/>
                <w:bCs/>
                <w:color w:val="0D0D0D" w:themeColor="text1" w:themeTint="F2"/>
                <w:kern w:val="0"/>
                <w14:ligatures w14:val="none"/>
              </w:rPr>
              <w:t>Y</w:t>
            </w:r>
            <w:r w:rsidR="00363AE6" w:rsidRPr="00000D70">
              <w:rPr>
                <w:rFonts w:eastAsia="Times New Roman" w:cs="Tahoma"/>
                <w:b/>
                <w:bCs/>
                <w:color w:val="0D0D0D" w:themeColor="text1" w:themeTint="F2"/>
                <w:kern w:val="0"/>
                <w14:ligatures w14:val="none"/>
              </w:rPr>
              <w:t>ear</w:t>
            </w:r>
          </w:p>
        </w:tc>
        <w:tc>
          <w:tcPr>
            <w:tcW w:w="6060" w:type="dxa"/>
            <w:tcBorders>
              <w:bottom w:val="single" w:sz="48" w:space="0" w:color="auto"/>
            </w:tcBorders>
            <w:shd w:val="clear" w:color="auto" w:fill="E8E8E8" w:themeFill="background2"/>
            <w:tcMar>
              <w:top w:w="72" w:type="dxa"/>
              <w:left w:w="144" w:type="dxa"/>
              <w:bottom w:w="72" w:type="dxa"/>
              <w:right w:w="144" w:type="dxa"/>
            </w:tcMar>
            <w:vAlign w:val="center"/>
            <w:hideMark/>
          </w:tcPr>
          <w:p w14:paraId="0EFC5AB1" w14:textId="73F2ABF4" w:rsidR="00032481" w:rsidRPr="00000D70" w:rsidRDefault="00032481" w:rsidP="00363AE6">
            <w:pPr>
              <w:rPr>
                <w:rFonts w:eastAsia="Times New Roman" w:cs="Tahoma"/>
                <w:color w:val="0D0D0D" w:themeColor="text1" w:themeTint="F2"/>
                <w:kern w:val="0"/>
                <w14:ligatures w14:val="none"/>
              </w:rPr>
            </w:pPr>
            <w:r w:rsidRPr="00000D70">
              <w:rPr>
                <w:rFonts w:eastAsia="Times New Roman" w:cs="Tahoma"/>
                <w:b/>
                <w:bCs/>
                <w:color w:val="0D0D0D" w:themeColor="text1" w:themeTint="F2"/>
                <w:kern w:val="0"/>
                <w14:ligatures w14:val="none"/>
              </w:rPr>
              <w:t>Performance Target:</w:t>
            </w:r>
            <w:r w:rsidR="00363AE6" w:rsidRPr="00000D70">
              <w:rPr>
                <w:rFonts w:eastAsia="Times New Roman" w:cs="Tahoma"/>
                <w:b/>
                <w:bCs/>
                <w:color w:val="0D0D0D" w:themeColor="text1" w:themeTint="F2"/>
                <w:kern w:val="0"/>
                <w14:ligatures w14:val="none"/>
              </w:rPr>
              <w:t xml:space="preserve"> </w:t>
            </w:r>
            <w:r w:rsidRPr="00000D70">
              <w:rPr>
                <w:rFonts w:eastAsia="Times New Roman" w:cs="Tahoma"/>
                <w:b/>
                <w:bCs/>
                <w:color w:val="0D0D0D" w:themeColor="text1" w:themeTint="F2"/>
                <w:kern w:val="0"/>
                <w14:ligatures w14:val="none"/>
              </w:rPr>
              <w:t>Intake calls answered</w:t>
            </w:r>
          </w:p>
        </w:tc>
        <w:tc>
          <w:tcPr>
            <w:tcW w:w="1757" w:type="dxa"/>
            <w:tcBorders>
              <w:bottom w:val="single" w:sz="48" w:space="0" w:color="auto"/>
            </w:tcBorders>
            <w:shd w:val="clear" w:color="auto" w:fill="E8E8E8" w:themeFill="background2"/>
            <w:tcMar>
              <w:top w:w="72" w:type="dxa"/>
              <w:left w:w="144" w:type="dxa"/>
              <w:bottom w:w="72" w:type="dxa"/>
              <w:right w:w="144" w:type="dxa"/>
            </w:tcMar>
            <w:vAlign w:val="center"/>
            <w:hideMark/>
          </w:tcPr>
          <w:p w14:paraId="022FEE7A" w14:textId="77777777" w:rsidR="00032481" w:rsidRPr="00000D70" w:rsidRDefault="00032481" w:rsidP="00363AE6">
            <w:pPr>
              <w:rPr>
                <w:rFonts w:eastAsia="Times New Roman" w:cs="Tahoma"/>
                <w:color w:val="0D0D0D" w:themeColor="text1" w:themeTint="F2"/>
                <w:kern w:val="0"/>
                <w14:ligatures w14:val="none"/>
              </w:rPr>
            </w:pPr>
            <w:r w:rsidRPr="00000D70">
              <w:rPr>
                <w:rFonts w:eastAsia="Times New Roman" w:cs="Tahoma"/>
                <w:b/>
                <w:bCs/>
                <w:color w:val="0D0D0D" w:themeColor="text1" w:themeTint="F2"/>
                <w:kern w:val="0"/>
                <w14:ligatures w14:val="none"/>
              </w:rPr>
              <w:t>Performance Result</w:t>
            </w:r>
          </w:p>
        </w:tc>
      </w:tr>
      <w:tr w:rsidR="00032481" w:rsidRPr="00CB687E" w14:paraId="3C29E443" w14:textId="77777777" w:rsidTr="00363AE6">
        <w:trPr>
          <w:trHeight w:val="567"/>
        </w:trPr>
        <w:tc>
          <w:tcPr>
            <w:tcW w:w="1395" w:type="dxa"/>
            <w:tcBorders>
              <w:top w:val="single" w:sz="48" w:space="0" w:color="auto"/>
              <w:right w:val="single" w:sz="24" w:space="0" w:color="auto"/>
            </w:tcBorders>
            <w:shd w:val="clear" w:color="auto" w:fill="FFFFFF" w:themeFill="background1"/>
            <w:tcMar>
              <w:top w:w="15" w:type="dxa"/>
              <w:left w:w="108" w:type="dxa"/>
              <w:bottom w:w="0" w:type="dxa"/>
              <w:right w:w="108" w:type="dxa"/>
            </w:tcMar>
            <w:vAlign w:val="center"/>
            <w:hideMark/>
          </w:tcPr>
          <w:p w14:paraId="3CE67B30" w14:textId="68B8955D" w:rsidR="00032481" w:rsidRPr="00000D70" w:rsidRDefault="00032481" w:rsidP="00363AE6">
            <w:pPr>
              <w:spacing w:line="254" w:lineRule="auto"/>
              <w:rPr>
                <w:rFonts w:eastAsia="Times New Roman" w:cs="Tahoma"/>
                <w:kern w:val="0"/>
                <w14:ligatures w14:val="none"/>
              </w:rPr>
            </w:pPr>
            <w:r w:rsidRPr="00000D70">
              <w:rPr>
                <w:rFonts w:eastAsia="Times New Roman" w:cs="Tahoma"/>
                <w:color w:val="292934"/>
                <w:kern w:val="0"/>
                <w14:ligatures w14:val="none"/>
              </w:rPr>
              <w:t>2024</w:t>
            </w:r>
            <w:r w:rsidR="002B60B6" w:rsidRPr="00000D70">
              <w:rPr>
                <w:rFonts w:eastAsia="Times New Roman" w:cs="Tahoma"/>
                <w:color w:val="292934"/>
                <w:kern w:val="0"/>
                <w14:ligatures w14:val="none"/>
              </w:rPr>
              <w:t>–</w:t>
            </w:r>
            <w:r w:rsidRPr="00000D70">
              <w:rPr>
                <w:rFonts w:eastAsia="Times New Roman" w:cs="Tahoma"/>
                <w:color w:val="292934"/>
                <w:kern w:val="0"/>
                <w14:ligatures w14:val="none"/>
              </w:rPr>
              <w:t>25</w:t>
            </w:r>
          </w:p>
        </w:tc>
        <w:tc>
          <w:tcPr>
            <w:tcW w:w="6060" w:type="dxa"/>
            <w:tcBorders>
              <w:top w:val="single" w:sz="48" w:space="0" w:color="auto"/>
              <w:left w:val="single" w:sz="24" w:space="0" w:color="auto"/>
            </w:tcBorders>
            <w:shd w:val="clear" w:color="auto" w:fill="FFFFFF" w:themeFill="background1"/>
            <w:tcMar>
              <w:top w:w="15" w:type="dxa"/>
              <w:left w:w="108" w:type="dxa"/>
              <w:bottom w:w="0" w:type="dxa"/>
              <w:right w:w="108" w:type="dxa"/>
            </w:tcMar>
            <w:vAlign w:val="center"/>
            <w:hideMark/>
          </w:tcPr>
          <w:p w14:paraId="7110ACC7" w14:textId="77777777" w:rsidR="00032481" w:rsidRPr="00000D70" w:rsidRDefault="00032481" w:rsidP="00363AE6">
            <w:pPr>
              <w:spacing w:line="254" w:lineRule="auto"/>
              <w:rPr>
                <w:rFonts w:eastAsia="Times New Roman" w:cs="Tahoma"/>
                <w:kern w:val="0"/>
                <w14:ligatures w14:val="none"/>
              </w:rPr>
            </w:pPr>
            <w:r w:rsidRPr="00000D70">
              <w:rPr>
                <w:rFonts w:eastAsia="Times New Roman" w:cs="Tahoma"/>
                <w:kern w:val="0"/>
                <w14:ligatures w14:val="none"/>
              </w:rPr>
              <w:t>80%</w:t>
            </w:r>
          </w:p>
        </w:tc>
        <w:tc>
          <w:tcPr>
            <w:tcW w:w="1757" w:type="dxa"/>
            <w:tcBorders>
              <w:top w:val="single" w:sz="48" w:space="0" w:color="auto"/>
            </w:tcBorders>
            <w:shd w:val="clear" w:color="auto" w:fill="FFFFFF" w:themeFill="background1"/>
            <w:tcMar>
              <w:top w:w="15" w:type="dxa"/>
              <w:left w:w="108" w:type="dxa"/>
              <w:bottom w:w="0" w:type="dxa"/>
              <w:right w:w="108" w:type="dxa"/>
            </w:tcMar>
            <w:vAlign w:val="center"/>
            <w:hideMark/>
          </w:tcPr>
          <w:p w14:paraId="27C142BC" w14:textId="77777777" w:rsidR="00032481" w:rsidRPr="00000D70" w:rsidRDefault="00032481" w:rsidP="00363AE6">
            <w:pPr>
              <w:spacing w:line="254" w:lineRule="auto"/>
              <w:rPr>
                <w:rFonts w:eastAsia="Times New Roman" w:cs="Tahoma"/>
                <w:kern w:val="0"/>
                <w14:ligatures w14:val="none"/>
              </w:rPr>
            </w:pPr>
            <w:r w:rsidRPr="00000D70">
              <w:rPr>
                <w:rFonts w:eastAsia="Times New Roman" w:cs="Tahoma"/>
                <w:kern w:val="0"/>
                <w14:ligatures w14:val="none"/>
              </w:rPr>
              <w:t>86%</w:t>
            </w:r>
          </w:p>
        </w:tc>
      </w:tr>
      <w:tr w:rsidR="00032481" w:rsidRPr="00CB687E" w14:paraId="60D38B01" w14:textId="77777777" w:rsidTr="00363AE6">
        <w:trPr>
          <w:trHeight w:val="567"/>
        </w:trPr>
        <w:tc>
          <w:tcPr>
            <w:tcW w:w="1395" w:type="dxa"/>
            <w:tcBorders>
              <w:right w:val="single" w:sz="24" w:space="0" w:color="auto"/>
            </w:tcBorders>
            <w:shd w:val="clear" w:color="auto" w:fill="FFFFFF" w:themeFill="background1"/>
            <w:tcMar>
              <w:top w:w="72" w:type="dxa"/>
              <w:left w:w="144" w:type="dxa"/>
              <w:bottom w:w="72" w:type="dxa"/>
              <w:right w:w="144" w:type="dxa"/>
            </w:tcMar>
            <w:vAlign w:val="center"/>
            <w:hideMark/>
          </w:tcPr>
          <w:p w14:paraId="2E26C07F" w14:textId="0C46F258" w:rsidR="00032481" w:rsidRPr="00000D70" w:rsidRDefault="00032481" w:rsidP="00363AE6">
            <w:pPr>
              <w:rPr>
                <w:rFonts w:eastAsia="Times New Roman" w:cs="Tahoma"/>
                <w:kern w:val="0"/>
                <w14:ligatures w14:val="none"/>
              </w:rPr>
            </w:pPr>
            <w:r w:rsidRPr="00000D70">
              <w:rPr>
                <w:rFonts w:eastAsia="Times New Roman" w:cs="Tahoma"/>
                <w:color w:val="292934"/>
                <w:kern w:val="0"/>
                <w14:ligatures w14:val="none"/>
              </w:rPr>
              <w:t>2023</w:t>
            </w:r>
            <w:r w:rsidR="002B60B6" w:rsidRPr="00000D70">
              <w:rPr>
                <w:rFonts w:eastAsia="Times New Roman" w:cs="Tahoma"/>
                <w:color w:val="292934"/>
                <w:kern w:val="0"/>
                <w14:ligatures w14:val="none"/>
              </w:rPr>
              <w:t>–</w:t>
            </w:r>
            <w:r w:rsidRPr="00000D70">
              <w:rPr>
                <w:rFonts w:eastAsia="Times New Roman" w:cs="Tahoma"/>
                <w:color w:val="292934"/>
                <w:kern w:val="0"/>
                <w14:ligatures w14:val="none"/>
              </w:rPr>
              <w:t>24</w:t>
            </w:r>
          </w:p>
        </w:tc>
        <w:tc>
          <w:tcPr>
            <w:tcW w:w="6060" w:type="dxa"/>
            <w:tcBorders>
              <w:left w:val="single" w:sz="24" w:space="0" w:color="auto"/>
            </w:tcBorders>
            <w:shd w:val="clear" w:color="auto" w:fill="FFFFFF" w:themeFill="background1"/>
            <w:tcMar>
              <w:top w:w="72" w:type="dxa"/>
              <w:left w:w="144" w:type="dxa"/>
              <w:bottom w:w="72" w:type="dxa"/>
              <w:right w:w="144" w:type="dxa"/>
            </w:tcMar>
            <w:vAlign w:val="center"/>
            <w:hideMark/>
          </w:tcPr>
          <w:p w14:paraId="1FB3A008" w14:textId="77777777" w:rsidR="00032481" w:rsidRPr="00000D70" w:rsidRDefault="00032481" w:rsidP="00363AE6">
            <w:pPr>
              <w:rPr>
                <w:rFonts w:eastAsia="Times New Roman" w:cs="Tahoma"/>
                <w:kern w:val="0"/>
                <w14:ligatures w14:val="none"/>
              </w:rPr>
            </w:pPr>
            <w:r w:rsidRPr="00000D70">
              <w:rPr>
                <w:rFonts w:eastAsia="Times New Roman" w:cs="Tahoma"/>
                <w:color w:val="292934"/>
                <w:kern w:val="0"/>
                <w14:ligatures w14:val="none"/>
              </w:rPr>
              <w:t>80%</w:t>
            </w:r>
          </w:p>
        </w:tc>
        <w:tc>
          <w:tcPr>
            <w:tcW w:w="1757" w:type="dxa"/>
            <w:shd w:val="clear" w:color="auto" w:fill="FFFFFF" w:themeFill="background1"/>
            <w:tcMar>
              <w:top w:w="72" w:type="dxa"/>
              <w:left w:w="144" w:type="dxa"/>
              <w:bottom w:w="72" w:type="dxa"/>
              <w:right w:w="144" w:type="dxa"/>
            </w:tcMar>
            <w:vAlign w:val="center"/>
            <w:hideMark/>
          </w:tcPr>
          <w:p w14:paraId="490F08DB" w14:textId="77777777" w:rsidR="00032481" w:rsidRPr="00000D70" w:rsidRDefault="00032481" w:rsidP="00363AE6">
            <w:pPr>
              <w:rPr>
                <w:rFonts w:eastAsia="Times New Roman" w:cs="Tahoma"/>
                <w:kern w:val="0"/>
                <w14:ligatures w14:val="none"/>
              </w:rPr>
            </w:pPr>
            <w:r w:rsidRPr="00000D70">
              <w:rPr>
                <w:rFonts w:eastAsia="Times New Roman" w:cs="Tahoma"/>
                <w:color w:val="292934"/>
                <w:kern w:val="0"/>
                <w14:ligatures w14:val="none"/>
              </w:rPr>
              <w:t>88%</w:t>
            </w:r>
          </w:p>
        </w:tc>
      </w:tr>
    </w:tbl>
    <w:p w14:paraId="5925B5E2" w14:textId="534E4E07" w:rsidR="00032481" w:rsidRPr="00363AE6" w:rsidRDefault="00032481" w:rsidP="00363AE6">
      <w:pPr>
        <w:spacing w:before="240"/>
        <w:rPr>
          <w:rFonts w:cs="Tahoma"/>
        </w:rPr>
      </w:pPr>
      <w:r w:rsidRPr="00CB687E">
        <w:rPr>
          <w:rFonts w:cs="Tahoma"/>
        </w:rPr>
        <w:t>Although there was a slight decline in the percentage of intake calls answered in 2024</w:t>
      </w:r>
      <w:r w:rsidR="00B25BFB" w:rsidRPr="00B25BFB">
        <w:rPr>
          <w:rFonts w:cs="Tahoma"/>
        </w:rPr>
        <w:t>–</w:t>
      </w:r>
      <w:r w:rsidR="00B25BFB">
        <w:rPr>
          <w:rFonts w:cs="Tahoma"/>
        </w:rPr>
        <w:t>20</w:t>
      </w:r>
      <w:r w:rsidRPr="00CB687E">
        <w:rPr>
          <w:rFonts w:cs="Tahoma"/>
        </w:rPr>
        <w:t>25, the total number of calls answered by HRLSC – to the credit of our dedicated intake staff - was 16.4% higher in 2024</w:t>
      </w:r>
      <w:r w:rsidR="00B25BFB" w:rsidRPr="00B25BFB">
        <w:rPr>
          <w:rFonts w:cs="Tahoma"/>
        </w:rPr>
        <w:t>–</w:t>
      </w:r>
      <w:r w:rsidR="00B25BFB">
        <w:rPr>
          <w:rFonts w:cs="Tahoma"/>
        </w:rPr>
        <w:t>20</w:t>
      </w:r>
      <w:r w:rsidRPr="00CB687E">
        <w:rPr>
          <w:rFonts w:cs="Tahoma"/>
        </w:rPr>
        <w:t>25 (23,823) than in 2023</w:t>
      </w:r>
      <w:r w:rsidR="00B25BFB" w:rsidRPr="00B25BFB">
        <w:rPr>
          <w:rFonts w:cs="Tahoma"/>
        </w:rPr>
        <w:t>–</w:t>
      </w:r>
      <w:r w:rsidR="00B25BFB">
        <w:rPr>
          <w:rFonts w:cs="Tahoma"/>
        </w:rPr>
        <w:t>20</w:t>
      </w:r>
      <w:r w:rsidRPr="00CB687E">
        <w:rPr>
          <w:rFonts w:cs="Tahoma"/>
        </w:rPr>
        <w:t xml:space="preserve">24 (20,460) due to a </w:t>
      </w:r>
      <w:r w:rsidR="006A7A91" w:rsidRPr="00CB687E">
        <w:rPr>
          <w:rFonts w:cs="Tahoma"/>
        </w:rPr>
        <w:t xml:space="preserve">significantly </w:t>
      </w:r>
      <w:r w:rsidRPr="00CB687E">
        <w:rPr>
          <w:rFonts w:cs="Tahoma"/>
        </w:rPr>
        <w:t>higher overall volume of callers in 2024</w:t>
      </w:r>
      <w:r w:rsidR="00904A97" w:rsidRPr="00B25BFB">
        <w:rPr>
          <w:rFonts w:cs="Tahoma"/>
        </w:rPr>
        <w:t>–</w:t>
      </w:r>
      <w:r w:rsidR="00904A97">
        <w:rPr>
          <w:rFonts w:cs="Tahoma"/>
        </w:rPr>
        <w:t>20</w:t>
      </w:r>
      <w:r w:rsidRPr="00CB687E">
        <w:rPr>
          <w:rFonts w:cs="Tahoma"/>
        </w:rPr>
        <w:t>25</w:t>
      </w:r>
      <w:r w:rsidR="006A7A91" w:rsidRPr="00CB687E">
        <w:rPr>
          <w:rFonts w:cs="Tahoma"/>
        </w:rPr>
        <w:t xml:space="preserve"> (the highest number since 2018</w:t>
      </w:r>
      <w:r w:rsidR="00B25BFB" w:rsidRPr="00B25BFB">
        <w:rPr>
          <w:rFonts w:cs="Tahoma"/>
        </w:rPr>
        <w:t>–</w:t>
      </w:r>
      <w:r w:rsidR="00B25BFB">
        <w:rPr>
          <w:rFonts w:cs="Tahoma"/>
        </w:rPr>
        <w:t>20</w:t>
      </w:r>
      <w:r w:rsidR="006A7A91" w:rsidRPr="00CB687E">
        <w:rPr>
          <w:rFonts w:cs="Tahoma"/>
        </w:rPr>
        <w:t>19)</w:t>
      </w:r>
      <w:r w:rsidRPr="00CB687E">
        <w:rPr>
          <w:rFonts w:cs="Tahoma"/>
        </w:rPr>
        <w:t>.</w:t>
      </w:r>
    </w:p>
    <w:p w14:paraId="16BF75A6" w14:textId="77777777" w:rsidR="00032481" w:rsidRPr="00CB687E" w:rsidRDefault="00032481" w:rsidP="00032481">
      <w:pPr>
        <w:pStyle w:val="Heading3"/>
      </w:pPr>
      <w:bookmarkStart w:id="106" w:name="_Toc204090293"/>
      <w:r w:rsidRPr="00CB687E">
        <w:t>High quality legal service provision and client satisfaction</w:t>
      </w:r>
      <w:bookmarkEnd w:id="106"/>
    </w:p>
    <w:p w14:paraId="47EC1763" w14:textId="172165A2" w:rsidR="00032481" w:rsidRPr="00363AE6" w:rsidRDefault="00032481" w:rsidP="00032481">
      <w:pPr>
        <w:rPr>
          <w:rFonts w:cs="Tahoma"/>
        </w:rPr>
      </w:pPr>
      <w:r w:rsidRPr="00CB687E">
        <w:rPr>
          <w:rFonts w:cs="Tahoma"/>
          <w:i/>
          <w:iCs/>
        </w:rPr>
        <w:t>Performance Measure:</w:t>
      </w:r>
      <w:r w:rsidRPr="00CB687E">
        <w:rPr>
          <w:rFonts w:cs="Tahoma"/>
        </w:rPr>
        <w:t xml:space="preserve"> High quality legal services are provided to Ontarians who have experienced </w:t>
      </w:r>
      <w:r w:rsidR="002A6E8C" w:rsidRPr="00CB687E">
        <w:rPr>
          <w:rFonts w:cs="Tahoma"/>
        </w:rPr>
        <w:t>discrimination.</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88"/>
        <w:gridCol w:w="5992"/>
        <w:gridCol w:w="1832"/>
      </w:tblGrid>
      <w:tr w:rsidR="00032481" w:rsidRPr="00CB687E" w14:paraId="4E05BF53" w14:textId="77777777" w:rsidTr="007D2EE8">
        <w:trPr>
          <w:trHeight w:val="743"/>
        </w:trPr>
        <w:tc>
          <w:tcPr>
            <w:tcW w:w="1395" w:type="dxa"/>
            <w:tcBorders>
              <w:bottom w:val="single" w:sz="48" w:space="0" w:color="auto"/>
            </w:tcBorders>
            <w:shd w:val="clear" w:color="auto" w:fill="E8E8E8" w:themeFill="background2"/>
            <w:tcMar>
              <w:top w:w="72" w:type="dxa"/>
              <w:left w:w="144" w:type="dxa"/>
              <w:bottom w:w="72" w:type="dxa"/>
              <w:right w:w="144" w:type="dxa"/>
            </w:tcMar>
            <w:vAlign w:val="center"/>
            <w:hideMark/>
          </w:tcPr>
          <w:p w14:paraId="4749FE37" w14:textId="796C8C03" w:rsidR="00032481" w:rsidRPr="00000D70" w:rsidRDefault="00032481" w:rsidP="007D2EE8">
            <w:pPr>
              <w:rPr>
                <w:rFonts w:eastAsia="Times New Roman" w:cs="Tahoma"/>
                <w:color w:val="0D0D0D" w:themeColor="text1" w:themeTint="F2"/>
                <w:kern w:val="0"/>
                <w14:ligatures w14:val="none"/>
              </w:rPr>
            </w:pPr>
            <w:r w:rsidRPr="00000D70">
              <w:rPr>
                <w:rFonts w:eastAsia="Times New Roman" w:cs="Tahoma"/>
                <w:b/>
                <w:bCs/>
                <w:color w:val="0D0D0D" w:themeColor="text1" w:themeTint="F2"/>
                <w:kern w:val="0"/>
                <w14:ligatures w14:val="none"/>
              </w:rPr>
              <w:t>Y</w:t>
            </w:r>
            <w:r w:rsidR="007D2EE8" w:rsidRPr="00000D70">
              <w:rPr>
                <w:rFonts w:eastAsia="Times New Roman" w:cs="Tahoma"/>
                <w:b/>
                <w:bCs/>
                <w:color w:val="0D0D0D" w:themeColor="text1" w:themeTint="F2"/>
                <w:kern w:val="0"/>
                <w14:ligatures w14:val="none"/>
              </w:rPr>
              <w:t>ear</w:t>
            </w:r>
          </w:p>
        </w:tc>
        <w:tc>
          <w:tcPr>
            <w:tcW w:w="6060" w:type="dxa"/>
            <w:tcBorders>
              <w:bottom w:val="single" w:sz="48" w:space="0" w:color="auto"/>
            </w:tcBorders>
            <w:shd w:val="clear" w:color="auto" w:fill="E8E8E8" w:themeFill="background2"/>
            <w:tcMar>
              <w:top w:w="72" w:type="dxa"/>
              <w:left w:w="144" w:type="dxa"/>
              <w:bottom w:w="72" w:type="dxa"/>
              <w:right w:w="144" w:type="dxa"/>
            </w:tcMar>
            <w:vAlign w:val="center"/>
            <w:hideMark/>
          </w:tcPr>
          <w:p w14:paraId="78C5BFA1" w14:textId="6C9376D3" w:rsidR="00032481" w:rsidRPr="00000D70" w:rsidRDefault="00032481" w:rsidP="007D2EE8">
            <w:pPr>
              <w:rPr>
                <w:rFonts w:eastAsia="Times New Roman" w:cs="Tahoma"/>
                <w:color w:val="0D0D0D" w:themeColor="text1" w:themeTint="F2"/>
                <w:kern w:val="0"/>
                <w14:ligatures w14:val="none"/>
              </w:rPr>
            </w:pPr>
            <w:r w:rsidRPr="00000D70">
              <w:rPr>
                <w:rFonts w:eastAsia="Times New Roman" w:cs="Tahoma"/>
                <w:b/>
                <w:bCs/>
                <w:color w:val="0D0D0D" w:themeColor="text1" w:themeTint="F2"/>
                <w:kern w:val="0"/>
                <w14:ligatures w14:val="none"/>
              </w:rPr>
              <w:t>Performance Target:</w:t>
            </w:r>
            <w:r w:rsidR="007D2EE8" w:rsidRPr="00000D70">
              <w:rPr>
                <w:rFonts w:eastAsia="Times New Roman" w:cs="Tahoma"/>
                <w:b/>
                <w:bCs/>
                <w:color w:val="0D0D0D" w:themeColor="text1" w:themeTint="F2"/>
                <w:kern w:val="0"/>
                <w14:ligatures w14:val="none"/>
              </w:rPr>
              <w:t xml:space="preserve"> </w:t>
            </w:r>
            <w:r w:rsidRPr="00000D70">
              <w:rPr>
                <w:rFonts w:eastAsia="Times New Roman" w:cs="Tahoma"/>
                <w:b/>
                <w:bCs/>
                <w:color w:val="0D0D0D" w:themeColor="text1" w:themeTint="F2"/>
                <w:kern w:val="0"/>
                <w14:ligatures w14:val="none"/>
              </w:rPr>
              <w:t>Clients rate services as</w:t>
            </w:r>
            <w:r w:rsidR="007D2EE8" w:rsidRPr="00000D70">
              <w:rPr>
                <w:rFonts w:eastAsia="Times New Roman" w:cs="Tahoma"/>
                <w:b/>
                <w:bCs/>
                <w:color w:val="0D0D0D" w:themeColor="text1" w:themeTint="F2"/>
                <w:kern w:val="0"/>
                <w14:ligatures w14:val="none"/>
              </w:rPr>
              <w:t xml:space="preserve"> </w:t>
            </w:r>
            <w:r w:rsidRPr="00000D70">
              <w:rPr>
                <w:rFonts w:eastAsia="Times New Roman" w:cs="Tahoma"/>
                <w:b/>
                <w:bCs/>
                <w:color w:val="0D0D0D" w:themeColor="text1" w:themeTint="F2"/>
                <w:kern w:val="0"/>
                <w14:ligatures w14:val="none"/>
              </w:rPr>
              <w:t>good/very good, at least</w:t>
            </w:r>
          </w:p>
        </w:tc>
        <w:tc>
          <w:tcPr>
            <w:tcW w:w="1757" w:type="dxa"/>
            <w:tcBorders>
              <w:bottom w:val="single" w:sz="48" w:space="0" w:color="auto"/>
            </w:tcBorders>
            <w:shd w:val="clear" w:color="auto" w:fill="E8E8E8" w:themeFill="background2"/>
            <w:tcMar>
              <w:top w:w="72" w:type="dxa"/>
              <w:left w:w="144" w:type="dxa"/>
              <w:bottom w:w="72" w:type="dxa"/>
              <w:right w:w="144" w:type="dxa"/>
            </w:tcMar>
            <w:vAlign w:val="center"/>
            <w:hideMark/>
          </w:tcPr>
          <w:p w14:paraId="55558CC2" w14:textId="77777777" w:rsidR="00032481" w:rsidRPr="00000D70" w:rsidRDefault="00032481" w:rsidP="007D2EE8">
            <w:pPr>
              <w:rPr>
                <w:rFonts w:eastAsia="Times New Roman" w:cs="Tahoma"/>
                <w:color w:val="0D0D0D" w:themeColor="text1" w:themeTint="F2"/>
                <w:kern w:val="0"/>
                <w14:ligatures w14:val="none"/>
              </w:rPr>
            </w:pPr>
            <w:r w:rsidRPr="00000D70">
              <w:rPr>
                <w:rFonts w:eastAsia="Times New Roman" w:cs="Tahoma"/>
                <w:b/>
                <w:bCs/>
                <w:color w:val="0D0D0D" w:themeColor="text1" w:themeTint="F2"/>
                <w:kern w:val="0"/>
                <w14:ligatures w14:val="none"/>
              </w:rPr>
              <w:t>Performance Result</w:t>
            </w:r>
          </w:p>
        </w:tc>
      </w:tr>
      <w:tr w:rsidR="00032481" w:rsidRPr="00CB687E" w14:paraId="55E07B8C" w14:textId="77777777" w:rsidTr="007D2EE8">
        <w:trPr>
          <w:trHeight w:val="567"/>
        </w:trPr>
        <w:tc>
          <w:tcPr>
            <w:tcW w:w="1395" w:type="dxa"/>
            <w:tcBorders>
              <w:top w:val="single" w:sz="48" w:space="0" w:color="auto"/>
              <w:right w:val="single" w:sz="24" w:space="0" w:color="auto"/>
            </w:tcBorders>
            <w:shd w:val="clear" w:color="auto" w:fill="FFFFFF" w:themeFill="background1"/>
            <w:tcMar>
              <w:top w:w="15" w:type="dxa"/>
              <w:left w:w="108" w:type="dxa"/>
              <w:bottom w:w="0" w:type="dxa"/>
              <w:right w:w="108" w:type="dxa"/>
            </w:tcMar>
            <w:vAlign w:val="center"/>
            <w:hideMark/>
          </w:tcPr>
          <w:p w14:paraId="4D89AC9E" w14:textId="0935967F" w:rsidR="00032481" w:rsidRPr="00000D70" w:rsidRDefault="00032481" w:rsidP="007D2EE8">
            <w:pPr>
              <w:spacing w:line="254" w:lineRule="auto"/>
              <w:rPr>
                <w:rFonts w:eastAsia="Times New Roman" w:cs="Tahoma"/>
                <w:kern w:val="0"/>
                <w14:ligatures w14:val="none"/>
              </w:rPr>
            </w:pPr>
            <w:r w:rsidRPr="00000D70">
              <w:rPr>
                <w:rFonts w:eastAsia="Calibri" w:cs="Tahoma"/>
                <w:color w:val="292934"/>
                <w14:ligatures w14:val="none"/>
              </w:rPr>
              <w:t>2024</w:t>
            </w:r>
            <w:r w:rsidR="002B60B6" w:rsidRPr="00000D70">
              <w:rPr>
                <w:rFonts w:eastAsia="Calibri" w:cs="Tahoma"/>
                <w:color w:val="292934"/>
                <w14:ligatures w14:val="none"/>
              </w:rPr>
              <w:t>–</w:t>
            </w:r>
            <w:r w:rsidRPr="00000D70">
              <w:rPr>
                <w:rFonts w:eastAsia="Calibri" w:cs="Tahoma"/>
                <w:color w:val="292934"/>
                <w14:ligatures w14:val="none"/>
              </w:rPr>
              <w:t>25</w:t>
            </w:r>
          </w:p>
        </w:tc>
        <w:tc>
          <w:tcPr>
            <w:tcW w:w="6060" w:type="dxa"/>
            <w:tcBorders>
              <w:top w:val="single" w:sz="48" w:space="0" w:color="auto"/>
              <w:left w:val="single" w:sz="24" w:space="0" w:color="auto"/>
            </w:tcBorders>
            <w:shd w:val="clear" w:color="auto" w:fill="FFFFFF" w:themeFill="background1"/>
            <w:tcMar>
              <w:top w:w="15" w:type="dxa"/>
              <w:left w:w="108" w:type="dxa"/>
              <w:bottom w:w="0" w:type="dxa"/>
              <w:right w:w="108" w:type="dxa"/>
            </w:tcMar>
            <w:vAlign w:val="center"/>
            <w:hideMark/>
          </w:tcPr>
          <w:p w14:paraId="35AFFE98" w14:textId="77777777" w:rsidR="00032481" w:rsidRPr="00000D70" w:rsidRDefault="00032481" w:rsidP="007D2EE8">
            <w:pPr>
              <w:spacing w:line="254" w:lineRule="auto"/>
              <w:rPr>
                <w:rFonts w:eastAsia="Times New Roman" w:cs="Tahoma"/>
                <w:kern w:val="0"/>
                <w14:ligatures w14:val="none"/>
              </w:rPr>
            </w:pPr>
            <w:r w:rsidRPr="00000D70">
              <w:rPr>
                <w:rFonts w:eastAsia="Times New Roman" w:cs="Tahoma"/>
                <w:kern w:val="0"/>
                <w14:ligatures w14:val="none"/>
              </w:rPr>
              <w:t>85%</w:t>
            </w:r>
          </w:p>
        </w:tc>
        <w:tc>
          <w:tcPr>
            <w:tcW w:w="1757" w:type="dxa"/>
            <w:tcBorders>
              <w:top w:val="single" w:sz="48" w:space="0" w:color="auto"/>
            </w:tcBorders>
            <w:shd w:val="clear" w:color="auto" w:fill="FFFFFF" w:themeFill="background1"/>
            <w:tcMar>
              <w:top w:w="15" w:type="dxa"/>
              <w:left w:w="108" w:type="dxa"/>
              <w:bottom w:w="0" w:type="dxa"/>
              <w:right w:w="108" w:type="dxa"/>
            </w:tcMar>
            <w:vAlign w:val="center"/>
            <w:hideMark/>
          </w:tcPr>
          <w:p w14:paraId="3BC6D4DA" w14:textId="77777777" w:rsidR="00032481" w:rsidRPr="00000D70" w:rsidRDefault="00032481" w:rsidP="007D2EE8">
            <w:pPr>
              <w:spacing w:line="254" w:lineRule="auto"/>
              <w:rPr>
                <w:rFonts w:eastAsia="Times New Roman" w:cs="Tahoma"/>
                <w:kern w:val="0"/>
                <w14:ligatures w14:val="none"/>
              </w:rPr>
            </w:pPr>
            <w:r w:rsidRPr="00000D70">
              <w:rPr>
                <w:rFonts w:eastAsia="Times New Roman" w:cs="Tahoma"/>
                <w:kern w:val="0"/>
                <w14:ligatures w14:val="none"/>
              </w:rPr>
              <w:t>100%</w:t>
            </w:r>
          </w:p>
        </w:tc>
      </w:tr>
      <w:tr w:rsidR="00032481" w:rsidRPr="00CB687E" w14:paraId="684F5FA0" w14:textId="77777777" w:rsidTr="007D2EE8">
        <w:trPr>
          <w:trHeight w:val="567"/>
        </w:trPr>
        <w:tc>
          <w:tcPr>
            <w:tcW w:w="1395" w:type="dxa"/>
            <w:tcBorders>
              <w:right w:val="single" w:sz="24" w:space="0" w:color="auto"/>
            </w:tcBorders>
            <w:shd w:val="clear" w:color="auto" w:fill="FFFFFF" w:themeFill="background1"/>
            <w:tcMar>
              <w:top w:w="72" w:type="dxa"/>
              <w:left w:w="144" w:type="dxa"/>
              <w:bottom w:w="72" w:type="dxa"/>
              <w:right w:w="144" w:type="dxa"/>
            </w:tcMar>
            <w:vAlign w:val="center"/>
            <w:hideMark/>
          </w:tcPr>
          <w:p w14:paraId="1FF08739" w14:textId="67DB41DA" w:rsidR="00032481" w:rsidRPr="00000D70" w:rsidRDefault="00032481" w:rsidP="007D2EE8">
            <w:pPr>
              <w:rPr>
                <w:rFonts w:eastAsia="Times New Roman" w:cs="Tahoma"/>
                <w:kern w:val="0"/>
                <w14:ligatures w14:val="none"/>
              </w:rPr>
            </w:pPr>
            <w:r w:rsidRPr="00000D70">
              <w:rPr>
                <w:rFonts w:eastAsia="Times New Roman" w:cs="Tahoma"/>
                <w:color w:val="292934"/>
                <w:kern w:val="0"/>
                <w14:ligatures w14:val="none"/>
              </w:rPr>
              <w:t>2023</w:t>
            </w:r>
            <w:r w:rsidR="002B60B6" w:rsidRPr="00000D70">
              <w:rPr>
                <w:rFonts w:eastAsia="Times New Roman" w:cs="Tahoma"/>
                <w:color w:val="292934"/>
                <w:kern w:val="0"/>
                <w14:ligatures w14:val="none"/>
              </w:rPr>
              <w:t>–</w:t>
            </w:r>
            <w:r w:rsidRPr="00000D70">
              <w:rPr>
                <w:rFonts w:eastAsia="Times New Roman" w:cs="Tahoma"/>
                <w:color w:val="292934"/>
                <w:kern w:val="0"/>
                <w14:ligatures w14:val="none"/>
              </w:rPr>
              <w:t>24</w:t>
            </w:r>
          </w:p>
        </w:tc>
        <w:tc>
          <w:tcPr>
            <w:tcW w:w="6060" w:type="dxa"/>
            <w:tcBorders>
              <w:left w:val="single" w:sz="24" w:space="0" w:color="auto"/>
            </w:tcBorders>
            <w:shd w:val="clear" w:color="auto" w:fill="FFFFFF" w:themeFill="background1"/>
            <w:tcMar>
              <w:top w:w="72" w:type="dxa"/>
              <w:left w:w="144" w:type="dxa"/>
              <w:bottom w:w="72" w:type="dxa"/>
              <w:right w:w="144" w:type="dxa"/>
            </w:tcMar>
            <w:vAlign w:val="center"/>
            <w:hideMark/>
          </w:tcPr>
          <w:p w14:paraId="6980559E" w14:textId="77777777" w:rsidR="00032481" w:rsidRPr="00000D70" w:rsidRDefault="00032481" w:rsidP="007D2EE8">
            <w:pPr>
              <w:rPr>
                <w:rFonts w:eastAsia="Times New Roman" w:cs="Tahoma"/>
                <w:kern w:val="0"/>
                <w14:ligatures w14:val="none"/>
              </w:rPr>
            </w:pPr>
            <w:r w:rsidRPr="00000D70">
              <w:rPr>
                <w:rFonts w:eastAsia="Times New Roman" w:cs="Tahoma"/>
                <w:color w:val="292934"/>
                <w:kern w:val="0"/>
                <w14:ligatures w14:val="none"/>
              </w:rPr>
              <w:t>85%</w:t>
            </w:r>
          </w:p>
        </w:tc>
        <w:tc>
          <w:tcPr>
            <w:tcW w:w="1757" w:type="dxa"/>
            <w:shd w:val="clear" w:color="auto" w:fill="FFFFFF" w:themeFill="background1"/>
            <w:tcMar>
              <w:top w:w="72" w:type="dxa"/>
              <w:left w:w="144" w:type="dxa"/>
              <w:bottom w:w="72" w:type="dxa"/>
              <w:right w:w="144" w:type="dxa"/>
            </w:tcMar>
            <w:vAlign w:val="center"/>
            <w:hideMark/>
          </w:tcPr>
          <w:p w14:paraId="7B618C46" w14:textId="77777777" w:rsidR="00032481" w:rsidRPr="00000D70" w:rsidRDefault="00032481" w:rsidP="007D2EE8">
            <w:pPr>
              <w:rPr>
                <w:rFonts w:eastAsia="Times New Roman" w:cs="Tahoma"/>
                <w:kern w:val="0"/>
                <w14:ligatures w14:val="none"/>
              </w:rPr>
            </w:pPr>
            <w:r w:rsidRPr="00000D70">
              <w:rPr>
                <w:rFonts w:eastAsia="Times New Roman" w:cs="Tahoma"/>
                <w:color w:val="292934"/>
                <w:kern w:val="0"/>
                <w14:ligatures w14:val="none"/>
              </w:rPr>
              <w:t>100%</w:t>
            </w:r>
          </w:p>
        </w:tc>
      </w:tr>
    </w:tbl>
    <w:p w14:paraId="05BA2890" w14:textId="77777777" w:rsidR="00626F82" w:rsidRDefault="00626F82" w:rsidP="00363AE6">
      <w:pPr>
        <w:spacing w:before="240"/>
        <w:rPr>
          <w:rFonts w:cs="Tahoma"/>
        </w:rPr>
      </w:pPr>
    </w:p>
    <w:p w14:paraId="4C6605E0" w14:textId="54380F92" w:rsidR="00032481" w:rsidRPr="007D2EE8" w:rsidRDefault="00032481" w:rsidP="00363AE6">
      <w:pPr>
        <w:spacing w:before="240"/>
        <w:rPr>
          <w:rFonts w:cs="Tahoma"/>
        </w:rPr>
      </w:pPr>
      <w:r w:rsidRPr="00CB687E">
        <w:rPr>
          <w:rFonts w:cs="Tahoma"/>
        </w:rPr>
        <w:lastRenderedPageBreak/>
        <w:t xml:space="preserve">On a five-point response scale (very poor, poor, adequate, good, very good), </w:t>
      </w:r>
      <w:r w:rsidR="004F5EBC" w:rsidRPr="00CB687E">
        <w:rPr>
          <w:rFonts w:cs="Tahoma"/>
        </w:rPr>
        <w:t xml:space="preserve">the HRLSC surpassed its target: 100% of survey clients rated our service as </w:t>
      </w:r>
      <w:r w:rsidR="00B25BFB">
        <w:rPr>
          <w:rFonts w:cs="Tahoma"/>
        </w:rPr>
        <w:t>“</w:t>
      </w:r>
      <w:r w:rsidR="004F5EBC" w:rsidRPr="00CB687E">
        <w:rPr>
          <w:rFonts w:cs="Tahoma"/>
        </w:rPr>
        <w:t>very good</w:t>
      </w:r>
      <w:r w:rsidR="00B25BFB">
        <w:rPr>
          <w:rFonts w:cs="Tahoma"/>
        </w:rPr>
        <w:t>”</w:t>
      </w:r>
      <w:r w:rsidR="004F5EBC" w:rsidRPr="00CB687E">
        <w:rPr>
          <w:rFonts w:cs="Tahoma"/>
        </w:rPr>
        <w:t xml:space="preserve"> or </w:t>
      </w:r>
      <w:r w:rsidR="00B25BFB">
        <w:rPr>
          <w:rFonts w:cs="Tahoma"/>
        </w:rPr>
        <w:t>“</w:t>
      </w:r>
      <w:r w:rsidR="004F5EBC" w:rsidRPr="00CB687E">
        <w:rPr>
          <w:rFonts w:cs="Tahoma"/>
        </w:rPr>
        <w:t>good</w:t>
      </w:r>
      <w:r w:rsidR="00B25BFB">
        <w:rPr>
          <w:rFonts w:cs="Tahoma"/>
        </w:rPr>
        <w:t>”</w:t>
      </w:r>
      <w:r w:rsidR="004F5EBC" w:rsidRPr="00CB687E">
        <w:rPr>
          <w:rFonts w:cs="Tahoma"/>
        </w:rPr>
        <w:t xml:space="preserve"> (</w:t>
      </w:r>
      <w:r w:rsidRPr="00CB687E">
        <w:rPr>
          <w:rFonts w:cs="Tahoma"/>
        </w:rPr>
        <w:t xml:space="preserve">85% of surveyed clients rated the services provided to them by the Centre as very good, </w:t>
      </w:r>
      <w:r w:rsidR="004F5EBC" w:rsidRPr="00CB687E">
        <w:rPr>
          <w:rFonts w:cs="Tahoma"/>
        </w:rPr>
        <w:t>and</w:t>
      </w:r>
      <w:r w:rsidRPr="00CB687E">
        <w:rPr>
          <w:rFonts w:cs="Tahoma"/>
        </w:rPr>
        <w:t xml:space="preserve"> 15% rated the services as good</w:t>
      </w:r>
      <w:r w:rsidR="004F5EBC" w:rsidRPr="00CB687E">
        <w:rPr>
          <w:rFonts w:cs="Tahoma"/>
        </w:rPr>
        <w:t>)</w:t>
      </w:r>
      <w:r w:rsidRPr="00CB687E">
        <w:rPr>
          <w:rFonts w:cs="Tahoma"/>
        </w:rPr>
        <w:t xml:space="preserve">. </w:t>
      </w:r>
    </w:p>
    <w:p w14:paraId="00FC47AF" w14:textId="77777777" w:rsidR="00032481" w:rsidRPr="00CB687E" w:rsidRDefault="00032481" w:rsidP="00032481">
      <w:pPr>
        <w:pStyle w:val="Heading3"/>
      </w:pPr>
      <w:bookmarkStart w:id="107" w:name="_Toc204090294"/>
      <w:r w:rsidRPr="00CB687E">
        <w:t>Early resolution of human rights cases</w:t>
      </w:r>
      <w:bookmarkEnd w:id="107"/>
    </w:p>
    <w:p w14:paraId="2CB41C45" w14:textId="63B2DD04" w:rsidR="00032481" w:rsidRPr="00CB687E" w:rsidRDefault="00032481" w:rsidP="00032481">
      <w:pPr>
        <w:rPr>
          <w:rFonts w:ascii="Arial" w:hAnsi="Arial" w:cs="Arial"/>
        </w:rPr>
      </w:pPr>
      <w:r w:rsidRPr="00CB687E">
        <w:rPr>
          <w:rFonts w:cs="Tahoma"/>
          <w:i/>
          <w:iCs/>
        </w:rPr>
        <w:t>Performance Measure:</w:t>
      </w:r>
      <w:r w:rsidRPr="00CB687E">
        <w:rPr>
          <w:rFonts w:cs="Tahoma"/>
        </w:rPr>
        <w:t xml:space="preserve"> Increased and quick access to justice for Ontarians and increased efficiency and capacity in the human rights system through early resolution of human rights cases, reducing costs for applicants, respondents, and taxpayers.</w:t>
      </w:r>
    </w:p>
    <w:tbl>
      <w:tblPr>
        <w:tblW w:w="9212" w:type="dxa"/>
        <w:tblCellMar>
          <w:left w:w="0" w:type="dxa"/>
          <w:right w:w="0" w:type="dxa"/>
        </w:tblCellMar>
        <w:tblLook w:val="0420" w:firstRow="1" w:lastRow="0" w:firstColumn="0" w:lastColumn="0" w:noHBand="0" w:noVBand="1"/>
      </w:tblPr>
      <w:tblGrid>
        <w:gridCol w:w="1388"/>
        <w:gridCol w:w="5992"/>
        <w:gridCol w:w="1832"/>
      </w:tblGrid>
      <w:tr w:rsidR="00032481" w:rsidRPr="00CB687E" w14:paraId="69696FE7" w14:textId="77777777" w:rsidTr="007D2EE8">
        <w:trPr>
          <w:trHeight w:val="743"/>
        </w:trPr>
        <w:tc>
          <w:tcPr>
            <w:tcW w:w="1395" w:type="dxa"/>
            <w:tcBorders>
              <w:top w:val="single" w:sz="4" w:space="0" w:color="auto"/>
              <w:left w:val="single" w:sz="4" w:space="0" w:color="auto"/>
              <w:bottom w:val="single" w:sz="48" w:space="0" w:color="auto"/>
              <w:right w:val="single" w:sz="4" w:space="0" w:color="auto"/>
            </w:tcBorders>
            <w:shd w:val="clear" w:color="auto" w:fill="E8E8E8" w:themeFill="background2"/>
            <w:tcMar>
              <w:top w:w="72" w:type="dxa"/>
              <w:left w:w="144" w:type="dxa"/>
              <w:bottom w:w="72" w:type="dxa"/>
              <w:right w:w="144" w:type="dxa"/>
            </w:tcMar>
            <w:vAlign w:val="center"/>
            <w:hideMark/>
          </w:tcPr>
          <w:p w14:paraId="14AD5DE2" w14:textId="55235D3E" w:rsidR="00032481" w:rsidRPr="00000D70" w:rsidRDefault="00032481" w:rsidP="007D2EE8">
            <w:pPr>
              <w:rPr>
                <w:rFonts w:eastAsia="Times New Roman" w:cs="Tahoma"/>
                <w:color w:val="0D0D0D" w:themeColor="text1" w:themeTint="F2"/>
                <w:kern w:val="0"/>
                <w14:ligatures w14:val="none"/>
              </w:rPr>
            </w:pPr>
            <w:r w:rsidRPr="00000D70">
              <w:rPr>
                <w:rFonts w:eastAsia="Times New Roman" w:cs="Tahoma"/>
                <w:b/>
                <w:bCs/>
                <w:color w:val="0D0D0D" w:themeColor="text1" w:themeTint="F2"/>
                <w:kern w:val="0"/>
                <w14:ligatures w14:val="none"/>
              </w:rPr>
              <w:t>Y</w:t>
            </w:r>
            <w:r w:rsidR="007D2EE8" w:rsidRPr="00000D70">
              <w:rPr>
                <w:rFonts w:eastAsia="Times New Roman" w:cs="Tahoma"/>
                <w:b/>
                <w:bCs/>
                <w:color w:val="0D0D0D" w:themeColor="text1" w:themeTint="F2"/>
                <w:kern w:val="0"/>
                <w14:ligatures w14:val="none"/>
              </w:rPr>
              <w:t>ear</w:t>
            </w:r>
          </w:p>
        </w:tc>
        <w:tc>
          <w:tcPr>
            <w:tcW w:w="6060" w:type="dxa"/>
            <w:tcBorders>
              <w:top w:val="single" w:sz="4" w:space="0" w:color="auto"/>
              <w:left w:val="single" w:sz="4" w:space="0" w:color="auto"/>
              <w:bottom w:val="single" w:sz="48" w:space="0" w:color="auto"/>
              <w:right w:val="single" w:sz="4" w:space="0" w:color="auto"/>
            </w:tcBorders>
            <w:shd w:val="clear" w:color="auto" w:fill="E8E8E8" w:themeFill="background2"/>
            <w:tcMar>
              <w:top w:w="72" w:type="dxa"/>
              <w:left w:w="144" w:type="dxa"/>
              <w:bottom w:w="72" w:type="dxa"/>
              <w:right w:w="144" w:type="dxa"/>
            </w:tcMar>
            <w:vAlign w:val="center"/>
            <w:hideMark/>
          </w:tcPr>
          <w:p w14:paraId="0235279D" w14:textId="47972257" w:rsidR="00032481" w:rsidRPr="00000D70" w:rsidRDefault="00032481" w:rsidP="007D2EE8">
            <w:pPr>
              <w:rPr>
                <w:rFonts w:eastAsia="Times New Roman" w:cs="Tahoma"/>
                <w:color w:val="0D0D0D" w:themeColor="text1" w:themeTint="F2"/>
                <w:kern w:val="0"/>
                <w14:ligatures w14:val="none"/>
              </w:rPr>
            </w:pPr>
            <w:r w:rsidRPr="00000D70">
              <w:rPr>
                <w:rFonts w:eastAsia="Times New Roman" w:cs="Tahoma"/>
                <w:b/>
                <w:bCs/>
                <w:color w:val="0D0D0D" w:themeColor="text1" w:themeTint="F2"/>
                <w:kern w:val="0"/>
                <w14:ligatures w14:val="none"/>
              </w:rPr>
              <w:t xml:space="preserve">Performance Target: </w:t>
            </w:r>
            <w:r w:rsidR="007D2EE8" w:rsidRPr="00000D70">
              <w:rPr>
                <w:rFonts w:eastAsia="Times New Roman" w:cs="Tahoma"/>
                <w:b/>
                <w:bCs/>
                <w:color w:val="0D0D0D" w:themeColor="text1" w:themeTint="F2"/>
                <w:kern w:val="0"/>
                <w14:ligatures w14:val="none"/>
              </w:rPr>
              <w:t xml:space="preserve"> </w:t>
            </w:r>
            <w:r w:rsidRPr="00000D70">
              <w:rPr>
                <w:rFonts w:eastAsia="Times New Roman" w:cs="Tahoma"/>
                <w:b/>
                <w:bCs/>
                <w:color w:val="0D0D0D" w:themeColor="text1" w:themeTint="F2"/>
                <w:kern w:val="0"/>
                <w14:ligatures w14:val="none"/>
              </w:rPr>
              <w:t>Cases resolved at mediation stage</w:t>
            </w:r>
          </w:p>
        </w:tc>
        <w:tc>
          <w:tcPr>
            <w:tcW w:w="1757" w:type="dxa"/>
            <w:tcBorders>
              <w:top w:val="single" w:sz="4" w:space="0" w:color="auto"/>
              <w:left w:val="single" w:sz="4" w:space="0" w:color="auto"/>
              <w:bottom w:val="single" w:sz="48" w:space="0" w:color="auto"/>
              <w:right w:val="single" w:sz="4" w:space="0" w:color="auto"/>
            </w:tcBorders>
            <w:shd w:val="clear" w:color="auto" w:fill="E8E8E8" w:themeFill="background2"/>
            <w:tcMar>
              <w:top w:w="72" w:type="dxa"/>
              <w:left w:w="144" w:type="dxa"/>
              <w:bottom w:w="72" w:type="dxa"/>
              <w:right w:w="144" w:type="dxa"/>
            </w:tcMar>
            <w:vAlign w:val="center"/>
            <w:hideMark/>
          </w:tcPr>
          <w:p w14:paraId="4C3D5EC4" w14:textId="48BCED96" w:rsidR="00032481" w:rsidRPr="00000D70" w:rsidRDefault="00032481" w:rsidP="007D2EE8">
            <w:pPr>
              <w:rPr>
                <w:rFonts w:eastAsia="Times New Roman" w:cs="Tahoma"/>
                <w:color w:val="0D0D0D" w:themeColor="text1" w:themeTint="F2"/>
                <w:kern w:val="0"/>
                <w14:ligatures w14:val="none"/>
              </w:rPr>
            </w:pPr>
            <w:r w:rsidRPr="00000D70">
              <w:rPr>
                <w:rFonts w:eastAsia="Times New Roman" w:cs="Tahoma"/>
                <w:b/>
                <w:bCs/>
                <w:color w:val="0D0D0D" w:themeColor="text1" w:themeTint="F2"/>
                <w:kern w:val="0"/>
                <w14:ligatures w14:val="none"/>
              </w:rPr>
              <w:t>Performance Result</w:t>
            </w:r>
          </w:p>
        </w:tc>
      </w:tr>
      <w:tr w:rsidR="00032481" w:rsidRPr="00CB687E" w14:paraId="4B59CBF4" w14:textId="77777777" w:rsidTr="007D2EE8">
        <w:trPr>
          <w:trHeight w:val="567"/>
        </w:trPr>
        <w:tc>
          <w:tcPr>
            <w:tcW w:w="1395" w:type="dxa"/>
            <w:tcBorders>
              <w:top w:val="single" w:sz="48" w:space="0" w:color="auto"/>
              <w:left w:val="single" w:sz="4" w:space="0" w:color="auto"/>
              <w:bottom w:val="single" w:sz="4" w:space="0" w:color="auto"/>
              <w:right w:val="single" w:sz="24" w:space="0" w:color="auto"/>
            </w:tcBorders>
            <w:shd w:val="clear" w:color="auto" w:fill="FFFFFF" w:themeFill="background1"/>
            <w:tcMar>
              <w:top w:w="15" w:type="dxa"/>
              <w:left w:w="108" w:type="dxa"/>
              <w:bottom w:w="0" w:type="dxa"/>
              <w:right w:w="108" w:type="dxa"/>
            </w:tcMar>
            <w:vAlign w:val="center"/>
            <w:hideMark/>
          </w:tcPr>
          <w:p w14:paraId="0CF6D493" w14:textId="39EFA7D4" w:rsidR="00032481" w:rsidRPr="00000D70" w:rsidRDefault="00032481" w:rsidP="007D2EE8">
            <w:pPr>
              <w:spacing w:line="254" w:lineRule="auto"/>
              <w:rPr>
                <w:rFonts w:eastAsia="Times New Roman" w:cs="Tahoma"/>
                <w:kern w:val="0"/>
                <w14:ligatures w14:val="none"/>
              </w:rPr>
            </w:pPr>
            <w:r w:rsidRPr="00000D70">
              <w:rPr>
                <w:rFonts w:eastAsia="Calibri" w:cs="Tahoma"/>
                <w:color w:val="292934"/>
                <w14:ligatures w14:val="none"/>
              </w:rPr>
              <w:t>2024</w:t>
            </w:r>
            <w:r w:rsidR="00933A3F" w:rsidRPr="00000D70">
              <w:rPr>
                <w:rFonts w:eastAsia="Calibri" w:cs="Tahoma"/>
                <w:color w:val="292934"/>
                <w14:ligatures w14:val="none"/>
              </w:rPr>
              <w:t>–</w:t>
            </w:r>
            <w:r w:rsidRPr="00000D70">
              <w:rPr>
                <w:rFonts w:eastAsia="Calibri" w:cs="Tahoma"/>
                <w:color w:val="292934"/>
                <w14:ligatures w14:val="none"/>
              </w:rPr>
              <w:t>25</w:t>
            </w:r>
          </w:p>
        </w:tc>
        <w:tc>
          <w:tcPr>
            <w:tcW w:w="6060" w:type="dxa"/>
            <w:tcBorders>
              <w:top w:val="single" w:sz="48" w:space="0" w:color="auto"/>
              <w:left w:val="single" w:sz="2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445D534" w14:textId="77777777" w:rsidR="00032481" w:rsidRPr="00000D70" w:rsidRDefault="00032481" w:rsidP="007D2EE8">
            <w:pPr>
              <w:spacing w:line="254" w:lineRule="auto"/>
              <w:rPr>
                <w:rFonts w:eastAsia="Times New Roman" w:cs="Tahoma"/>
                <w:kern w:val="0"/>
                <w14:ligatures w14:val="none"/>
              </w:rPr>
            </w:pPr>
            <w:r w:rsidRPr="00000D70">
              <w:rPr>
                <w:rFonts w:eastAsia="Times New Roman" w:cs="Tahoma"/>
                <w:kern w:val="0"/>
                <w14:ligatures w14:val="none"/>
              </w:rPr>
              <w:t>70%</w:t>
            </w:r>
          </w:p>
        </w:tc>
        <w:tc>
          <w:tcPr>
            <w:tcW w:w="1757" w:type="dxa"/>
            <w:tcBorders>
              <w:top w:val="single" w:sz="48"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361128DF" w14:textId="59EE6847" w:rsidR="00032481" w:rsidRPr="00000D70" w:rsidRDefault="00032481" w:rsidP="007D2EE8">
            <w:pPr>
              <w:spacing w:line="254" w:lineRule="auto"/>
              <w:rPr>
                <w:rFonts w:eastAsia="Times New Roman" w:cs="Tahoma"/>
                <w:kern w:val="0"/>
                <w14:ligatures w14:val="none"/>
              </w:rPr>
            </w:pPr>
            <w:r w:rsidRPr="00000D70">
              <w:rPr>
                <w:rFonts w:eastAsia="Times New Roman" w:cs="Tahoma"/>
                <w:kern w:val="0"/>
                <w14:ligatures w14:val="none"/>
              </w:rPr>
              <w:t>6</w:t>
            </w:r>
            <w:r w:rsidR="00DC2C8F">
              <w:rPr>
                <w:rFonts w:eastAsia="Times New Roman" w:cs="Tahoma"/>
                <w:kern w:val="0"/>
                <w14:ligatures w14:val="none"/>
              </w:rPr>
              <w:t>6</w:t>
            </w:r>
            <w:r w:rsidRPr="00000D70">
              <w:rPr>
                <w:rFonts w:eastAsia="Times New Roman" w:cs="Tahoma"/>
                <w:kern w:val="0"/>
                <w14:ligatures w14:val="none"/>
              </w:rPr>
              <w:t>%</w:t>
            </w:r>
          </w:p>
        </w:tc>
      </w:tr>
      <w:tr w:rsidR="00032481" w:rsidRPr="00CB687E" w14:paraId="6EC62A3E" w14:textId="77777777" w:rsidTr="007D2EE8">
        <w:trPr>
          <w:trHeight w:val="567"/>
        </w:trPr>
        <w:tc>
          <w:tcPr>
            <w:tcW w:w="1395" w:type="dxa"/>
            <w:tcBorders>
              <w:top w:val="single" w:sz="4" w:space="0" w:color="auto"/>
              <w:left w:val="single" w:sz="4" w:space="0" w:color="auto"/>
              <w:bottom w:val="single" w:sz="4" w:space="0" w:color="auto"/>
              <w:right w:val="single" w:sz="24" w:space="0" w:color="auto"/>
            </w:tcBorders>
            <w:shd w:val="clear" w:color="auto" w:fill="FFFFFF" w:themeFill="background1"/>
            <w:tcMar>
              <w:top w:w="72" w:type="dxa"/>
              <w:left w:w="144" w:type="dxa"/>
              <w:bottom w:w="72" w:type="dxa"/>
              <w:right w:w="144" w:type="dxa"/>
            </w:tcMar>
            <w:vAlign w:val="center"/>
            <w:hideMark/>
          </w:tcPr>
          <w:p w14:paraId="4EF21A6B" w14:textId="3A0635ED" w:rsidR="00032481" w:rsidRPr="00000D70" w:rsidRDefault="00032481" w:rsidP="007D2EE8">
            <w:pPr>
              <w:rPr>
                <w:rFonts w:eastAsia="Times New Roman" w:cs="Tahoma"/>
                <w:kern w:val="0"/>
                <w14:ligatures w14:val="none"/>
              </w:rPr>
            </w:pPr>
            <w:r w:rsidRPr="00000D70">
              <w:rPr>
                <w:rFonts w:eastAsia="Times New Roman" w:cs="Tahoma"/>
                <w:color w:val="292934"/>
                <w:kern w:val="0"/>
                <w14:ligatures w14:val="none"/>
              </w:rPr>
              <w:t>2023</w:t>
            </w:r>
            <w:r w:rsidR="00933A3F" w:rsidRPr="00000D70">
              <w:rPr>
                <w:rFonts w:eastAsia="Times New Roman" w:cs="Tahoma"/>
                <w:color w:val="292934"/>
                <w:kern w:val="0"/>
                <w14:ligatures w14:val="none"/>
              </w:rPr>
              <w:t>–</w:t>
            </w:r>
            <w:r w:rsidRPr="00000D70">
              <w:rPr>
                <w:rFonts w:eastAsia="Times New Roman" w:cs="Tahoma"/>
                <w:color w:val="292934"/>
                <w:kern w:val="0"/>
                <w14:ligatures w14:val="none"/>
              </w:rPr>
              <w:t>24</w:t>
            </w:r>
          </w:p>
        </w:tc>
        <w:tc>
          <w:tcPr>
            <w:tcW w:w="6060" w:type="dxa"/>
            <w:tcBorders>
              <w:top w:val="single" w:sz="4" w:space="0" w:color="auto"/>
              <w:left w:val="single" w:sz="2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8EC5F5A" w14:textId="77777777" w:rsidR="00032481" w:rsidRPr="00000D70" w:rsidRDefault="00032481" w:rsidP="007D2EE8">
            <w:pPr>
              <w:rPr>
                <w:rFonts w:eastAsia="Times New Roman" w:cs="Tahoma"/>
                <w:kern w:val="0"/>
                <w14:ligatures w14:val="none"/>
              </w:rPr>
            </w:pPr>
            <w:r w:rsidRPr="00000D70">
              <w:rPr>
                <w:rFonts w:eastAsia="Times New Roman" w:cs="Tahoma"/>
                <w:color w:val="292934"/>
                <w:kern w:val="0"/>
                <w14:ligatures w14:val="none"/>
              </w:rPr>
              <w:t>70%</w:t>
            </w:r>
          </w:p>
        </w:tc>
        <w:tc>
          <w:tcPr>
            <w:tcW w:w="1757"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F12C96C" w14:textId="77777777" w:rsidR="00032481" w:rsidRPr="00000D70" w:rsidRDefault="00032481" w:rsidP="007D2EE8">
            <w:pPr>
              <w:rPr>
                <w:rFonts w:eastAsia="Times New Roman" w:cs="Tahoma"/>
                <w:kern w:val="0"/>
                <w14:ligatures w14:val="none"/>
              </w:rPr>
            </w:pPr>
            <w:r w:rsidRPr="00000D70">
              <w:rPr>
                <w:rFonts w:eastAsia="Times New Roman" w:cs="Tahoma"/>
                <w:color w:val="292934"/>
                <w:kern w:val="0"/>
                <w14:ligatures w14:val="none"/>
              </w:rPr>
              <w:t>62%</w:t>
            </w:r>
          </w:p>
        </w:tc>
      </w:tr>
    </w:tbl>
    <w:p w14:paraId="5E5227D4" w14:textId="02687364" w:rsidR="00F20F3F" w:rsidRDefault="00032481" w:rsidP="007D2EE8">
      <w:pPr>
        <w:spacing w:before="240"/>
        <w:rPr>
          <w:rFonts w:cs="Tahoma"/>
        </w:rPr>
      </w:pPr>
      <w:r w:rsidRPr="00CB687E">
        <w:rPr>
          <w:rFonts w:cs="Tahoma"/>
        </w:rPr>
        <w:t>In 2024</w:t>
      </w:r>
      <w:r w:rsidR="00B25BFB" w:rsidRPr="00B25BFB">
        <w:rPr>
          <w:rFonts w:cs="Tahoma"/>
        </w:rPr>
        <w:t>–</w:t>
      </w:r>
      <w:r w:rsidR="00B25BFB">
        <w:rPr>
          <w:rFonts w:cs="Tahoma"/>
        </w:rPr>
        <w:t>20</w:t>
      </w:r>
      <w:r w:rsidRPr="00CB687E">
        <w:rPr>
          <w:rFonts w:cs="Tahoma"/>
        </w:rPr>
        <w:t xml:space="preserve">25, the Centre attended </w:t>
      </w:r>
      <w:r w:rsidR="002464FE">
        <w:rPr>
          <w:rFonts w:cs="Tahoma"/>
        </w:rPr>
        <w:t>249</w:t>
      </w:r>
      <w:r w:rsidRPr="00CB687E">
        <w:rPr>
          <w:rFonts w:cs="Tahoma"/>
        </w:rPr>
        <w:t xml:space="preserve"> mediations, 165 (6</w:t>
      </w:r>
      <w:r w:rsidR="00DC2C8F">
        <w:rPr>
          <w:rFonts w:cs="Tahoma"/>
        </w:rPr>
        <w:t>6</w:t>
      </w:r>
      <w:r w:rsidRPr="00CB687E">
        <w:rPr>
          <w:rFonts w:cs="Tahoma"/>
        </w:rPr>
        <w:t xml:space="preserve">%) of which resulted in settlements. Although the Centre does not determine whether a settlement flows from mediation (given that multiple factors influence settlement outcomes) the 70% performance target </w:t>
      </w:r>
      <w:r w:rsidR="004F5EBC" w:rsidRPr="00CB687E">
        <w:rPr>
          <w:rFonts w:cs="Tahoma"/>
        </w:rPr>
        <w:t xml:space="preserve">reflects the Centre’s </w:t>
      </w:r>
      <w:r w:rsidRPr="00CB687E">
        <w:rPr>
          <w:rFonts w:cs="Tahoma"/>
        </w:rPr>
        <w:t xml:space="preserve">existing commitments to increasing the probability of reaching settlements that accord with the interests of the Centre’s clients. The </w:t>
      </w:r>
      <w:proofErr w:type="gramStart"/>
      <w:r w:rsidRPr="00CB687E">
        <w:rPr>
          <w:rFonts w:cs="Tahoma"/>
        </w:rPr>
        <w:t>aforementioned client</w:t>
      </w:r>
      <w:proofErr w:type="gramEnd"/>
      <w:r w:rsidRPr="00CB687E">
        <w:rPr>
          <w:rFonts w:cs="Tahoma"/>
        </w:rPr>
        <w:t xml:space="preserve"> survey results, focused on clients who settled at mediation, demonstrate that 100% of clients rated the Centre’s service to them as either </w:t>
      </w:r>
      <w:r w:rsidR="00B25BFB">
        <w:rPr>
          <w:rFonts w:cs="Tahoma"/>
        </w:rPr>
        <w:t>“</w:t>
      </w:r>
      <w:r w:rsidRPr="00CB687E">
        <w:rPr>
          <w:rFonts w:cs="Tahoma"/>
        </w:rPr>
        <w:t>good</w:t>
      </w:r>
      <w:r w:rsidR="00B25BFB">
        <w:rPr>
          <w:rFonts w:cs="Tahoma"/>
        </w:rPr>
        <w:t>”</w:t>
      </w:r>
      <w:r w:rsidRPr="00CB687E">
        <w:rPr>
          <w:rFonts w:cs="Tahoma"/>
        </w:rPr>
        <w:t xml:space="preserve"> or </w:t>
      </w:r>
      <w:r w:rsidR="00B25BFB">
        <w:rPr>
          <w:rFonts w:cs="Tahoma"/>
        </w:rPr>
        <w:t>“</w:t>
      </w:r>
      <w:r w:rsidRPr="00CB687E">
        <w:rPr>
          <w:rFonts w:cs="Tahoma"/>
        </w:rPr>
        <w:t>very good.</w:t>
      </w:r>
      <w:r w:rsidR="00B25BFB">
        <w:rPr>
          <w:rFonts w:cs="Tahoma"/>
        </w:rPr>
        <w:t>”</w:t>
      </w:r>
    </w:p>
    <w:p w14:paraId="080FFDD0" w14:textId="613B0068" w:rsidR="00D554A5" w:rsidRPr="00D554A5" w:rsidRDefault="0027163E" w:rsidP="00D554A5">
      <w:pPr>
        <w:pBdr>
          <w:top w:val="single" w:sz="24" w:space="8" w:color="156082" w:themeColor="accent1"/>
          <w:bottom w:val="single" w:sz="24" w:space="8" w:color="156082" w:themeColor="accent1"/>
        </w:pBdr>
        <w:rPr>
          <w:i/>
          <w:iCs/>
          <w:color w:val="156082" w:themeColor="accent1"/>
          <w:sz w:val="32"/>
          <w:szCs w:val="32"/>
        </w:rPr>
      </w:pPr>
      <w:r>
        <w:rPr>
          <w:i/>
          <w:iCs/>
          <w:color w:val="156082" w:themeColor="accent1"/>
          <w:sz w:val="32"/>
          <w:szCs w:val="32"/>
        </w:rPr>
        <w:t>’’</w:t>
      </w:r>
      <w:r w:rsidR="00D554A5" w:rsidRPr="00D554A5">
        <w:rPr>
          <w:i/>
          <w:iCs/>
          <w:color w:val="156082" w:themeColor="accent1"/>
          <w:sz w:val="32"/>
          <w:szCs w:val="32"/>
        </w:rPr>
        <w:t>I want to thank you and all HRLSC staff wholeheartedly for providing outstanding support without which we would have never been able to get through our housing human rights challenges… I am pleased to share that because of the successful settlement, we were able to move into a new rental apartment that is spacious and accessible, which has made a huge difference for [us].</w:t>
      </w:r>
      <w:r w:rsidR="00F60A35">
        <w:rPr>
          <w:i/>
          <w:iCs/>
          <w:color w:val="156082" w:themeColor="accent1"/>
          <w:sz w:val="32"/>
          <w:szCs w:val="32"/>
        </w:rPr>
        <w:t>”</w:t>
      </w:r>
    </w:p>
    <w:p w14:paraId="65A23AE1" w14:textId="56B262FB" w:rsidR="00F20F3F" w:rsidRPr="00D554A5" w:rsidRDefault="00D554A5" w:rsidP="00D554A5">
      <w:pPr>
        <w:pBdr>
          <w:top w:val="single" w:sz="24" w:space="8" w:color="156082" w:themeColor="accent1"/>
          <w:bottom w:val="single" w:sz="24" w:space="8" w:color="156082" w:themeColor="accent1"/>
        </w:pBdr>
        <w:spacing w:after="0"/>
        <w:rPr>
          <w:i/>
          <w:iCs/>
          <w:color w:val="156082" w:themeColor="accent1"/>
          <w:sz w:val="32"/>
          <w:szCs w:val="32"/>
        </w:rPr>
      </w:pPr>
      <w:r w:rsidRPr="00D554A5">
        <w:rPr>
          <w:i/>
          <w:iCs/>
          <w:color w:val="156082" w:themeColor="accent1"/>
          <w:sz w:val="32"/>
          <w:szCs w:val="32"/>
        </w:rPr>
        <w:t>– HRLSC Client</w:t>
      </w:r>
    </w:p>
    <w:p w14:paraId="6C5897BB" w14:textId="77777777" w:rsidR="00032481" w:rsidRPr="00CB687E" w:rsidRDefault="00032481" w:rsidP="00032481">
      <w:pPr>
        <w:pStyle w:val="Heading3"/>
      </w:pPr>
      <w:bookmarkStart w:id="108" w:name="_Toc204090295"/>
      <w:r w:rsidRPr="00CB687E">
        <w:lastRenderedPageBreak/>
        <w:t>Overall number of cases settled</w:t>
      </w:r>
      <w:bookmarkEnd w:id="108"/>
    </w:p>
    <w:p w14:paraId="63251780" w14:textId="11E3F8C5" w:rsidR="001E2278" w:rsidRPr="00CB687E" w:rsidRDefault="00032481">
      <w:pPr>
        <w:rPr>
          <w:rFonts w:cs="Tahoma"/>
        </w:rPr>
      </w:pPr>
      <w:r w:rsidRPr="00CB687E">
        <w:rPr>
          <w:rFonts w:cs="Tahoma"/>
          <w:i/>
          <w:iCs/>
        </w:rPr>
        <w:t>Performance Measure:</w:t>
      </w:r>
      <w:r w:rsidRPr="00CB687E">
        <w:rPr>
          <w:rFonts w:cs="Tahoma"/>
        </w:rPr>
        <w:t xml:space="preserve"> Increased and quicker access to justice for Ontarians and increased efficiency and capacity in the human rights system by resolving cases at all stages of the application process, reducing costs for applicants, respondents, and taxpayers. </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88"/>
        <w:gridCol w:w="5992"/>
        <w:gridCol w:w="1832"/>
      </w:tblGrid>
      <w:tr w:rsidR="00032481" w:rsidRPr="00CB687E" w14:paraId="4AE6873C" w14:textId="77777777" w:rsidTr="00B87FDB">
        <w:trPr>
          <w:trHeight w:val="740"/>
        </w:trPr>
        <w:tc>
          <w:tcPr>
            <w:tcW w:w="1395" w:type="dxa"/>
            <w:tcBorders>
              <w:bottom w:val="single" w:sz="48" w:space="0" w:color="auto"/>
              <w:right w:val="single" w:sz="4" w:space="0" w:color="auto"/>
            </w:tcBorders>
            <w:shd w:val="clear" w:color="auto" w:fill="E8E8E8" w:themeFill="background2"/>
            <w:tcMar>
              <w:top w:w="72" w:type="dxa"/>
              <w:left w:w="144" w:type="dxa"/>
              <w:bottom w:w="72" w:type="dxa"/>
              <w:right w:w="144" w:type="dxa"/>
            </w:tcMar>
            <w:vAlign w:val="center"/>
            <w:hideMark/>
          </w:tcPr>
          <w:p w14:paraId="24AFAAAB" w14:textId="61782D89" w:rsidR="00032481" w:rsidRPr="00000D70" w:rsidRDefault="00032481" w:rsidP="007D2EE8">
            <w:pPr>
              <w:rPr>
                <w:rFonts w:cs="Tahoma"/>
              </w:rPr>
            </w:pPr>
            <w:r w:rsidRPr="00000D70">
              <w:rPr>
                <w:rFonts w:cs="Tahoma"/>
                <w:b/>
                <w:bCs/>
              </w:rPr>
              <w:t>Y</w:t>
            </w:r>
            <w:r w:rsidR="003A156E" w:rsidRPr="00000D70">
              <w:rPr>
                <w:rFonts w:cs="Tahoma"/>
                <w:b/>
                <w:bCs/>
              </w:rPr>
              <w:t>ear</w:t>
            </w:r>
          </w:p>
        </w:tc>
        <w:tc>
          <w:tcPr>
            <w:tcW w:w="6060" w:type="dxa"/>
            <w:tcBorders>
              <w:left w:val="single" w:sz="4" w:space="0" w:color="auto"/>
              <w:bottom w:val="single" w:sz="48" w:space="0" w:color="auto"/>
            </w:tcBorders>
            <w:shd w:val="clear" w:color="auto" w:fill="E8E8E8" w:themeFill="background2"/>
            <w:tcMar>
              <w:top w:w="72" w:type="dxa"/>
              <w:left w:w="144" w:type="dxa"/>
              <w:bottom w:w="72" w:type="dxa"/>
              <w:right w:w="144" w:type="dxa"/>
            </w:tcMar>
            <w:vAlign w:val="center"/>
            <w:hideMark/>
          </w:tcPr>
          <w:p w14:paraId="023328A2" w14:textId="77777777" w:rsidR="00032481" w:rsidRPr="00000D70" w:rsidRDefault="00032481" w:rsidP="007D2EE8">
            <w:pPr>
              <w:rPr>
                <w:rFonts w:cs="Tahoma"/>
              </w:rPr>
            </w:pPr>
            <w:r w:rsidRPr="00000D70">
              <w:rPr>
                <w:rFonts w:cs="Tahoma"/>
                <w:b/>
                <w:bCs/>
              </w:rPr>
              <w:t>Performance Target: Cases settled at any stage of the application process</w:t>
            </w:r>
          </w:p>
        </w:tc>
        <w:tc>
          <w:tcPr>
            <w:tcW w:w="1757" w:type="dxa"/>
            <w:tcBorders>
              <w:bottom w:val="single" w:sz="48" w:space="0" w:color="auto"/>
            </w:tcBorders>
            <w:shd w:val="clear" w:color="auto" w:fill="E8E8E8" w:themeFill="background2"/>
            <w:tcMar>
              <w:top w:w="72" w:type="dxa"/>
              <w:left w:w="144" w:type="dxa"/>
              <w:bottom w:w="72" w:type="dxa"/>
              <w:right w:w="144" w:type="dxa"/>
            </w:tcMar>
            <w:vAlign w:val="center"/>
            <w:hideMark/>
          </w:tcPr>
          <w:p w14:paraId="7FAA7F67" w14:textId="77777777" w:rsidR="00032481" w:rsidRPr="00000D70" w:rsidRDefault="00032481" w:rsidP="007D2EE8">
            <w:pPr>
              <w:rPr>
                <w:rFonts w:cs="Tahoma"/>
              </w:rPr>
            </w:pPr>
            <w:r w:rsidRPr="00000D70">
              <w:rPr>
                <w:rFonts w:cs="Tahoma"/>
                <w:b/>
                <w:bCs/>
              </w:rPr>
              <w:t>Performance Result</w:t>
            </w:r>
          </w:p>
        </w:tc>
      </w:tr>
      <w:tr w:rsidR="00032481" w:rsidRPr="00CB687E" w14:paraId="1BF449AC" w14:textId="77777777" w:rsidTr="007D2EE8">
        <w:trPr>
          <w:trHeight w:val="567"/>
        </w:trPr>
        <w:tc>
          <w:tcPr>
            <w:tcW w:w="1395" w:type="dxa"/>
            <w:tcBorders>
              <w:top w:val="single" w:sz="48" w:space="0" w:color="auto"/>
              <w:right w:val="single" w:sz="24" w:space="0" w:color="auto"/>
            </w:tcBorders>
            <w:shd w:val="clear" w:color="auto" w:fill="FFFFFF" w:themeFill="background1"/>
            <w:tcMar>
              <w:top w:w="15" w:type="dxa"/>
              <w:left w:w="108" w:type="dxa"/>
              <w:bottom w:w="0" w:type="dxa"/>
              <w:right w:w="108" w:type="dxa"/>
            </w:tcMar>
            <w:vAlign w:val="center"/>
            <w:hideMark/>
          </w:tcPr>
          <w:p w14:paraId="08DEDA19" w14:textId="18356EF2" w:rsidR="00032481" w:rsidRPr="00000D70" w:rsidRDefault="00032481" w:rsidP="007D2EE8">
            <w:pPr>
              <w:rPr>
                <w:rFonts w:cs="Tahoma"/>
              </w:rPr>
            </w:pPr>
            <w:r w:rsidRPr="00000D70">
              <w:rPr>
                <w:rFonts w:cs="Tahoma"/>
              </w:rPr>
              <w:t>2024</w:t>
            </w:r>
            <w:r w:rsidR="00933A3F" w:rsidRPr="00000D70">
              <w:rPr>
                <w:rFonts w:cs="Tahoma"/>
              </w:rPr>
              <w:t>–</w:t>
            </w:r>
            <w:r w:rsidRPr="00000D70">
              <w:rPr>
                <w:rFonts w:cs="Tahoma"/>
              </w:rPr>
              <w:t>25</w:t>
            </w:r>
          </w:p>
        </w:tc>
        <w:tc>
          <w:tcPr>
            <w:tcW w:w="6060" w:type="dxa"/>
            <w:tcBorders>
              <w:top w:val="single" w:sz="48" w:space="0" w:color="auto"/>
              <w:left w:val="single" w:sz="24" w:space="0" w:color="auto"/>
            </w:tcBorders>
            <w:shd w:val="clear" w:color="auto" w:fill="FFFFFF" w:themeFill="background1"/>
            <w:tcMar>
              <w:top w:w="15" w:type="dxa"/>
              <w:left w:w="108" w:type="dxa"/>
              <w:bottom w:w="0" w:type="dxa"/>
              <w:right w:w="108" w:type="dxa"/>
            </w:tcMar>
            <w:vAlign w:val="center"/>
            <w:hideMark/>
          </w:tcPr>
          <w:p w14:paraId="6861A7A1" w14:textId="77777777" w:rsidR="00032481" w:rsidRPr="00000D70" w:rsidRDefault="00032481" w:rsidP="007D2EE8">
            <w:pPr>
              <w:rPr>
                <w:rFonts w:cs="Tahoma"/>
              </w:rPr>
            </w:pPr>
            <w:r w:rsidRPr="00000D70">
              <w:rPr>
                <w:rFonts w:cs="Tahoma"/>
              </w:rPr>
              <w:t>200</w:t>
            </w:r>
          </w:p>
        </w:tc>
        <w:tc>
          <w:tcPr>
            <w:tcW w:w="1757" w:type="dxa"/>
            <w:tcBorders>
              <w:top w:val="single" w:sz="48" w:space="0" w:color="auto"/>
            </w:tcBorders>
            <w:shd w:val="clear" w:color="auto" w:fill="FFFFFF" w:themeFill="background1"/>
            <w:tcMar>
              <w:top w:w="15" w:type="dxa"/>
              <w:left w:w="108" w:type="dxa"/>
              <w:bottom w:w="0" w:type="dxa"/>
              <w:right w:w="108" w:type="dxa"/>
            </w:tcMar>
            <w:vAlign w:val="center"/>
            <w:hideMark/>
          </w:tcPr>
          <w:p w14:paraId="0568AE53" w14:textId="77777777" w:rsidR="00032481" w:rsidRPr="00000D70" w:rsidRDefault="00032481" w:rsidP="007D2EE8">
            <w:pPr>
              <w:rPr>
                <w:rFonts w:cs="Tahoma"/>
              </w:rPr>
            </w:pPr>
            <w:r w:rsidRPr="00000D70">
              <w:rPr>
                <w:rFonts w:cs="Tahoma"/>
              </w:rPr>
              <w:t>204</w:t>
            </w:r>
          </w:p>
        </w:tc>
      </w:tr>
      <w:tr w:rsidR="00032481" w:rsidRPr="00CB687E" w14:paraId="5BAE109E" w14:textId="77777777" w:rsidTr="007D2EE8">
        <w:trPr>
          <w:trHeight w:val="567"/>
        </w:trPr>
        <w:tc>
          <w:tcPr>
            <w:tcW w:w="1395" w:type="dxa"/>
            <w:tcBorders>
              <w:right w:val="single" w:sz="24" w:space="0" w:color="auto"/>
            </w:tcBorders>
            <w:shd w:val="clear" w:color="auto" w:fill="FFFFFF" w:themeFill="background1"/>
            <w:tcMar>
              <w:top w:w="72" w:type="dxa"/>
              <w:left w:w="144" w:type="dxa"/>
              <w:bottom w:w="72" w:type="dxa"/>
              <w:right w:w="144" w:type="dxa"/>
            </w:tcMar>
            <w:vAlign w:val="center"/>
            <w:hideMark/>
          </w:tcPr>
          <w:p w14:paraId="05BB02B6" w14:textId="54EDEF56" w:rsidR="00032481" w:rsidRPr="00000D70" w:rsidRDefault="00032481" w:rsidP="007D2EE8">
            <w:pPr>
              <w:rPr>
                <w:rFonts w:cs="Tahoma"/>
              </w:rPr>
            </w:pPr>
            <w:r w:rsidRPr="00000D70">
              <w:rPr>
                <w:rFonts w:cs="Tahoma"/>
              </w:rPr>
              <w:t>2023</w:t>
            </w:r>
            <w:r w:rsidR="00933A3F" w:rsidRPr="00000D70">
              <w:rPr>
                <w:rFonts w:cs="Tahoma"/>
              </w:rPr>
              <w:t>–</w:t>
            </w:r>
            <w:r w:rsidRPr="00000D70">
              <w:rPr>
                <w:rFonts w:cs="Tahoma"/>
              </w:rPr>
              <w:t>24</w:t>
            </w:r>
          </w:p>
        </w:tc>
        <w:tc>
          <w:tcPr>
            <w:tcW w:w="6060" w:type="dxa"/>
            <w:tcBorders>
              <w:left w:val="single" w:sz="24" w:space="0" w:color="auto"/>
            </w:tcBorders>
            <w:shd w:val="clear" w:color="auto" w:fill="FFFFFF" w:themeFill="background1"/>
            <w:tcMar>
              <w:top w:w="72" w:type="dxa"/>
              <w:left w:w="144" w:type="dxa"/>
              <w:bottom w:w="72" w:type="dxa"/>
              <w:right w:w="144" w:type="dxa"/>
            </w:tcMar>
            <w:vAlign w:val="center"/>
            <w:hideMark/>
          </w:tcPr>
          <w:p w14:paraId="7263AE92" w14:textId="77777777" w:rsidR="00032481" w:rsidRPr="00000D70" w:rsidRDefault="00032481" w:rsidP="007D2EE8">
            <w:pPr>
              <w:rPr>
                <w:rFonts w:cs="Tahoma"/>
              </w:rPr>
            </w:pPr>
            <w:r w:rsidRPr="00000D70">
              <w:rPr>
                <w:rFonts w:cs="Tahoma"/>
              </w:rPr>
              <w:t>325</w:t>
            </w:r>
          </w:p>
        </w:tc>
        <w:tc>
          <w:tcPr>
            <w:tcW w:w="1757" w:type="dxa"/>
            <w:shd w:val="clear" w:color="auto" w:fill="FFFFFF" w:themeFill="background1"/>
            <w:tcMar>
              <w:top w:w="72" w:type="dxa"/>
              <w:left w:w="144" w:type="dxa"/>
              <w:bottom w:w="72" w:type="dxa"/>
              <w:right w:w="144" w:type="dxa"/>
            </w:tcMar>
            <w:vAlign w:val="center"/>
            <w:hideMark/>
          </w:tcPr>
          <w:p w14:paraId="752D088D" w14:textId="77777777" w:rsidR="00032481" w:rsidRPr="00000D70" w:rsidRDefault="00032481" w:rsidP="007D2EE8">
            <w:pPr>
              <w:rPr>
                <w:rFonts w:cs="Tahoma"/>
              </w:rPr>
            </w:pPr>
            <w:r w:rsidRPr="00000D70">
              <w:rPr>
                <w:rFonts w:cs="Tahoma"/>
              </w:rPr>
              <w:t>220</w:t>
            </w:r>
          </w:p>
        </w:tc>
      </w:tr>
    </w:tbl>
    <w:p w14:paraId="23AC1016" w14:textId="1974792F" w:rsidR="00032481" w:rsidRPr="007D2EE8" w:rsidRDefault="00032481" w:rsidP="00532F2C">
      <w:pPr>
        <w:spacing w:before="240"/>
        <w:rPr>
          <w:rFonts w:cs="Tahoma"/>
        </w:rPr>
      </w:pPr>
      <w:r w:rsidRPr="00CB687E">
        <w:rPr>
          <w:rFonts w:cs="Tahoma"/>
        </w:rPr>
        <w:t>Following a resource-sensitive reassessment of this performance target, the Centre determined that a target adjustment</w:t>
      </w:r>
      <w:r w:rsidR="000F5ACC" w:rsidRPr="000F5ACC">
        <w:rPr>
          <w:rFonts w:cs="Tahoma"/>
        </w:rPr>
        <w:t>—</w:t>
      </w:r>
      <w:r w:rsidRPr="00CB687E">
        <w:rPr>
          <w:rFonts w:cs="Tahoma"/>
        </w:rPr>
        <w:t xml:space="preserve"> from 325 to 200</w:t>
      </w:r>
      <w:r w:rsidR="000F5ACC" w:rsidRPr="000F5ACC">
        <w:rPr>
          <w:rFonts w:cs="Tahoma"/>
        </w:rPr>
        <w:t>—</w:t>
      </w:r>
      <w:r w:rsidRPr="00CB687E">
        <w:rPr>
          <w:rFonts w:cs="Tahoma"/>
        </w:rPr>
        <w:t xml:space="preserve"> was more realistically aligned with the current capacities of the Centre. Accordingly, despite a slight reduction of cases settled from 2023</w:t>
      </w:r>
      <w:r w:rsidR="00B25BFB" w:rsidRPr="00B25BFB">
        <w:rPr>
          <w:rFonts w:cs="Tahoma"/>
        </w:rPr>
        <w:t>–</w:t>
      </w:r>
      <w:r w:rsidR="00B25BFB">
        <w:rPr>
          <w:rFonts w:cs="Tahoma"/>
        </w:rPr>
        <w:t>20</w:t>
      </w:r>
      <w:r w:rsidRPr="00CB687E">
        <w:rPr>
          <w:rFonts w:cs="Tahoma"/>
        </w:rPr>
        <w:t>24 to 2024</w:t>
      </w:r>
      <w:r w:rsidR="00B25BFB" w:rsidRPr="00B25BFB">
        <w:rPr>
          <w:rFonts w:cs="Tahoma"/>
        </w:rPr>
        <w:t>–</w:t>
      </w:r>
      <w:r w:rsidR="00B25BFB">
        <w:rPr>
          <w:rFonts w:cs="Tahoma"/>
        </w:rPr>
        <w:t>20</w:t>
      </w:r>
      <w:r w:rsidRPr="00CB687E">
        <w:rPr>
          <w:rFonts w:cs="Tahoma"/>
        </w:rPr>
        <w:t>25, the 2024</w:t>
      </w:r>
      <w:r w:rsidR="00B25BFB" w:rsidRPr="00B25BFB">
        <w:rPr>
          <w:rFonts w:cs="Tahoma"/>
        </w:rPr>
        <w:t>–</w:t>
      </w:r>
      <w:r w:rsidR="00B25BFB">
        <w:rPr>
          <w:rFonts w:cs="Tahoma"/>
        </w:rPr>
        <w:t>20</w:t>
      </w:r>
      <w:r w:rsidRPr="00CB687E">
        <w:rPr>
          <w:rFonts w:cs="Tahoma"/>
        </w:rPr>
        <w:t xml:space="preserve">25 target was achieved. </w:t>
      </w:r>
    </w:p>
    <w:p w14:paraId="1AF1EF51" w14:textId="77777777" w:rsidR="00032481" w:rsidRPr="00CB687E" w:rsidRDefault="00032481" w:rsidP="00032481">
      <w:pPr>
        <w:pStyle w:val="Heading3"/>
      </w:pPr>
      <w:bookmarkStart w:id="109" w:name="_Toc204090296"/>
      <w:r w:rsidRPr="00CB687E">
        <w:t>Settlement rate at hearing</w:t>
      </w:r>
      <w:bookmarkEnd w:id="109"/>
    </w:p>
    <w:p w14:paraId="60952F1E" w14:textId="119FBEAE" w:rsidR="001E2278" w:rsidRPr="007D2EE8" w:rsidRDefault="00032481">
      <w:pPr>
        <w:rPr>
          <w:rFonts w:cs="Tahoma"/>
        </w:rPr>
      </w:pPr>
      <w:r w:rsidRPr="00CB687E">
        <w:rPr>
          <w:rFonts w:cs="Tahoma"/>
          <w:i/>
          <w:iCs/>
        </w:rPr>
        <w:t>Performance Measure:</w:t>
      </w:r>
      <w:r w:rsidRPr="00CB687E">
        <w:rPr>
          <w:rFonts w:cs="Tahoma"/>
        </w:rPr>
        <w:t xml:space="preserve"> Increased and quicker access to justice for Ontarians and increased efficiency and capacity in the human rights system by resolving meritorious claims at the HRTO hearing without the need for full litigation, reducing costs for applicants, respondents, and taxpayers. </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88"/>
        <w:gridCol w:w="5992"/>
        <w:gridCol w:w="1832"/>
      </w:tblGrid>
      <w:tr w:rsidR="00032481" w:rsidRPr="00CB687E" w14:paraId="021CFEF9" w14:textId="77777777" w:rsidTr="003A156E">
        <w:trPr>
          <w:trHeight w:val="743"/>
        </w:trPr>
        <w:tc>
          <w:tcPr>
            <w:tcW w:w="1395" w:type="dxa"/>
            <w:tcBorders>
              <w:bottom w:val="single" w:sz="48" w:space="0" w:color="auto"/>
            </w:tcBorders>
            <w:shd w:val="clear" w:color="auto" w:fill="E8E8E8" w:themeFill="background2"/>
            <w:tcMar>
              <w:top w:w="72" w:type="dxa"/>
              <w:left w:w="144" w:type="dxa"/>
              <w:bottom w:w="72" w:type="dxa"/>
              <w:right w:w="144" w:type="dxa"/>
            </w:tcMar>
            <w:vAlign w:val="center"/>
            <w:hideMark/>
          </w:tcPr>
          <w:p w14:paraId="563D837D" w14:textId="6987046D" w:rsidR="00032481" w:rsidRPr="00000D70" w:rsidRDefault="00032481" w:rsidP="003A156E">
            <w:pPr>
              <w:rPr>
                <w:rFonts w:cs="Tahoma"/>
              </w:rPr>
            </w:pPr>
            <w:r w:rsidRPr="00000D70">
              <w:rPr>
                <w:rFonts w:cs="Tahoma"/>
                <w:b/>
                <w:bCs/>
              </w:rPr>
              <w:t>Y</w:t>
            </w:r>
            <w:r w:rsidR="003A156E" w:rsidRPr="00000D70">
              <w:rPr>
                <w:rFonts w:cs="Tahoma"/>
                <w:b/>
                <w:bCs/>
              </w:rPr>
              <w:t>ear</w:t>
            </w:r>
          </w:p>
        </w:tc>
        <w:tc>
          <w:tcPr>
            <w:tcW w:w="6060" w:type="dxa"/>
            <w:tcBorders>
              <w:bottom w:val="single" w:sz="48" w:space="0" w:color="auto"/>
            </w:tcBorders>
            <w:shd w:val="clear" w:color="auto" w:fill="E8E8E8" w:themeFill="background2"/>
            <w:tcMar>
              <w:top w:w="72" w:type="dxa"/>
              <w:left w:w="144" w:type="dxa"/>
              <w:bottom w:w="72" w:type="dxa"/>
              <w:right w:w="144" w:type="dxa"/>
            </w:tcMar>
            <w:vAlign w:val="center"/>
            <w:hideMark/>
          </w:tcPr>
          <w:p w14:paraId="10EA3A57" w14:textId="77777777" w:rsidR="00032481" w:rsidRPr="00000D70" w:rsidRDefault="00032481" w:rsidP="003A156E">
            <w:pPr>
              <w:rPr>
                <w:rFonts w:cs="Tahoma"/>
              </w:rPr>
            </w:pPr>
            <w:r w:rsidRPr="00000D70">
              <w:rPr>
                <w:rFonts w:cs="Tahoma"/>
                <w:b/>
                <w:bCs/>
              </w:rPr>
              <w:t>Performance Target:</w:t>
            </w:r>
          </w:p>
          <w:p w14:paraId="04CCCC9D" w14:textId="77777777" w:rsidR="00032481" w:rsidRPr="00000D70" w:rsidRDefault="00032481" w:rsidP="003A156E">
            <w:pPr>
              <w:rPr>
                <w:rFonts w:cs="Tahoma"/>
              </w:rPr>
            </w:pPr>
            <w:r w:rsidRPr="00000D70">
              <w:rPr>
                <w:rFonts w:cs="Tahoma"/>
                <w:b/>
                <w:bCs/>
              </w:rPr>
              <w:t>Cases settled at beginning of hearing</w:t>
            </w:r>
          </w:p>
        </w:tc>
        <w:tc>
          <w:tcPr>
            <w:tcW w:w="1757" w:type="dxa"/>
            <w:tcBorders>
              <w:bottom w:val="single" w:sz="48" w:space="0" w:color="auto"/>
            </w:tcBorders>
            <w:shd w:val="clear" w:color="auto" w:fill="E8E8E8" w:themeFill="background2"/>
            <w:tcMar>
              <w:top w:w="72" w:type="dxa"/>
              <w:left w:w="144" w:type="dxa"/>
              <w:bottom w:w="72" w:type="dxa"/>
              <w:right w:w="144" w:type="dxa"/>
            </w:tcMar>
            <w:vAlign w:val="center"/>
            <w:hideMark/>
          </w:tcPr>
          <w:p w14:paraId="3FD24E92" w14:textId="77777777" w:rsidR="00032481" w:rsidRPr="00000D70" w:rsidRDefault="00032481" w:rsidP="003A156E">
            <w:pPr>
              <w:rPr>
                <w:rFonts w:cs="Tahoma"/>
              </w:rPr>
            </w:pPr>
            <w:r w:rsidRPr="00000D70">
              <w:rPr>
                <w:rFonts w:cs="Tahoma"/>
                <w:b/>
                <w:bCs/>
              </w:rPr>
              <w:t>Performance Result</w:t>
            </w:r>
          </w:p>
        </w:tc>
      </w:tr>
      <w:tr w:rsidR="00032481" w:rsidRPr="00CB687E" w14:paraId="03C30480" w14:textId="77777777" w:rsidTr="003A156E">
        <w:trPr>
          <w:trHeight w:val="567"/>
        </w:trPr>
        <w:tc>
          <w:tcPr>
            <w:tcW w:w="1395" w:type="dxa"/>
            <w:tcBorders>
              <w:top w:val="single" w:sz="48" w:space="0" w:color="auto"/>
              <w:right w:val="single" w:sz="24" w:space="0" w:color="auto"/>
            </w:tcBorders>
            <w:shd w:val="clear" w:color="auto" w:fill="FFFFFF" w:themeFill="background1"/>
            <w:tcMar>
              <w:top w:w="15" w:type="dxa"/>
              <w:left w:w="108" w:type="dxa"/>
              <w:bottom w:w="0" w:type="dxa"/>
              <w:right w:w="108" w:type="dxa"/>
            </w:tcMar>
            <w:vAlign w:val="center"/>
            <w:hideMark/>
          </w:tcPr>
          <w:p w14:paraId="2D6E5852" w14:textId="426E75CC" w:rsidR="00032481" w:rsidRPr="00000D70" w:rsidRDefault="00032481" w:rsidP="003A156E">
            <w:pPr>
              <w:rPr>
                <w:rFonts w:cs="Tahoma"/>
              </w:rPr>
            </w:pPr>
            <w:r w:rsidRPr="00000D70">
              <w:rPr>
                <w:rFonts w:cs="Tahoma"/>
              </w:rPr>
              <w:t>2024</w:t>
            </w:r>
            <w:r w:rsidR="00933A3F" w:rsidRPr="00000D70">
              <w:rPr>
                <w:rFonts w:cs="Tahoma"/>
              </w:rPr>
              <w:t>–</w:t>
            </w:r>
            <w:r w:rsidRPr="00000D70">
              <w:rPr>
                <w:rFonts w:cs="Tahoma"/>
              </w:rPr>
              <w:t>25</w:t>
            </w:r>
          </w:p>
        </w:tc>
        <w:tc>
          <w:tcPr>
            <w:tcW w:w="6060" w:type="dxa"/>
            <w:tcBorders>
              <w:top w:val="single" w:sz="48" w:space="0" w:color="auto"/>
              <w:left w:val="single" w:sz="24" w:space="0" w:color="auto"/>
            </w:tcBorders>
            <w:shd w:val="clear" w:color="auto" w:fill="FFFFFF" w:themeFill="background1"/>
            <w:tcMar>
              <w:top w:w="15" w:type="dxa"/>
              <w:left w:w="108" w:type="dxa"/>
              <w:bottom w:w="0" w:type="dxa"/>
              <w:right w:w="108" w:type="dxa"/>
            </w:tcMar>
            <w:vAlign w:val="center"/>
            <w:hideMark/>
          </w:tcPr>
          <w:p w14:paraId="7D3F0EAA" w14:textId="77777777" w:rsidR="00032481" w:rsidRPr="00000D70" w:rsidRDefault="00032481" w:rsidP="003A156E">
            <w:pPr>
              <w:rPr>
                <w:rFonts w:cs="Tahoma"/>
              </w:rPr>
            </w:pPr>
            <w:r w:rsidRPr="00000D70">
              <w:rPr>
                <w:rFonts w:cs="Tahoma"/>
              </w:rPr>
              <w:t>80%</w:t>
            </w:r>
          </w:p>
        </w:tc>
        <w:tc>
          <w:tcPr>
            <w:tcW w:w="1757" w:type="dxa"/>
            <w:tcBorders>
              <w:top w:val="single" w:sz="48" w:space="0" w:color="auto"/>
            </w:tcBorders>
            <w:shd w:val="clear" w:color="auto" w:fill="FFFFFF" w:themeFill="background1"/>
            <w:tcMar>
              <w:top w:w="15" w:type="dxa"/>
              <w:left w:w="108" w:type="dxa"/>
              <w:bottom w:w="0" w:type="dxa"/>
              <w:right w:w="108" w:type="dxa"/>
            </w:tcMar>
            <w:vAlign w:val="center"/>
            <w:hideMark/>
          </w:tcPr>
          <w:p w14:paraId="77228E89" w14:textId="77777777" w:rsidR="00032481" w:rsidRPr="00000D70" w:rsidRDefault="00032481" w:rsidP="003A156E">
            <w:pPr>
              <w:rPr>
                <w:rFonts w:cs="Tahoma"/>
              </w:rPr>
            </w:pPr>
            <w:r w:rsidRPr="00000D70">
              <w:rPr>
                <w:rFonts w:cs="Tahoma"/>
              </w:rPr>
              <w:t>51%</w:t>
            </w:r>
          </w:p>
        </w:tc>
      </w:tr>
      <w:tr w:rsidR="00032481" w:rsidRPr="00CB687E" w14:paraId="7D02FC77" w14:textId="77777777" w:rsidTr="003A156E">
        <w:trPr>
          <w:trHeight w:val="567"/>
        </w:trPr>
        <w:tc>
          <w:tcPr>
            <w:tcW w:w="1395" w:type="dxa"/>
            <w:tcBorders>
              <w:right w:val="single" w:sz="24" w:space="0" w:color="auto"/>
            </w:tcBorders>
            <w:shd w:val="clear" w:color="auto" w:fill="FFFFFF" w:themeFill="background1"/>
            <w:tcMar>
              <w:top w:w="72" w:type="dxa"/>
              <w:left w:w="144" w:type="dxa"/>
              <w:bottom w:w="72" w:type="dxa"/>
              <w:right w:w="144" w:type="dxa"/>
            </w:tcMar>
            <w:vAlign w:val="center"/>
            <w:hideMark/>
          </w:tcPr>
          <w:p w14:paraId="6B90572C" w14:textId="22A9E8AE" w:rsidR="00032481" w:rsidRPr="00000D70" w:rsidRDefault="00032481" w:rsidP="003A156E">
            <w:pPr>
              <w:rPr>
                <w:rFonts w:cs="Tahoma"/>
              </w:rPr>
            </w:pPr>
            <w:r w:rsidRPr="00000D70">
              <w:rPr>
                <w:rFonts w:cs="Tahoma"/>
              </w:rPr>
              <w:t>2023</w:t>
            </w:r>
            <w:r w:rsidR="00933A3F" w:rsidRPr="00000D70">
              <w:rPr>
                <w:rFonts w:cs="Tahoma"/>
              </w:rPr>
              <w:t>–</w:t>
            </w:r>
            <w:r w:rsidRPr="00000D70">
              <w:rPr>
                <w:rFonts w:cs="Tahoma"/>
              </w:rPr>
              <w:t>24</w:t>
            </w:r>
          </w:p>
        </w:tc>
        <w:tc>
          <w:tcPr>
            <w:tcW w:w="6060" w:type="dxa"/>
            <w:tcBorders>
              <w:left w:val="single" w:sz="24" w:space="0" w:color="auto"/>
            </w:tcBorders>
            <w:shd w:val="clear" w:color="auto" w:fill="FFFFFF" w:themeFill="background1"/>
            <w:tcMar>
              <w:top w:w="72" w:type="dxa"/>
              <w:left w:w="144" w:type="dxa"/>
              <w:bottom w:w="72" w:type="dxa"/>
              <w:right w:w="144" w:type="dxa"/>
            </w:tcMar>
            <w:vAlign w:val="center"/>
            <w:hideMark/>
          </w:tcPr>
          <w:p w14:paraId="1B6D276D" w14:textId="77777777" w:rsidR="00032481" w:rsidRPr="00000D70" w:rsidRDefault="00032481" w:rsidP="003A156E">
            <w:pPr>
              <w:rPr>
                <w:rFonts w:cs="Tahoma"/>
              </w:rPr>
            </w:pPr>
            <w:r w:rsidRPr="00000D70">
              <w:rPr>
                <w:rFonts w:cs="Tahoma"/>
              </w:rPr>
              <w:t>65%</w:t>
            </w:r>
          </w:p>
        </w:tc>
        <w:tc>
          <w:tcPr>
            <w:tcW w:w="1757" w:type="dxa"/>
            <w:shd w:val="clear" w:color="auto" w:fill="FFFFFF" w:themeFill="background1"/>
            <w:tcMar>
              <w:top w:w="72" w:type="dxa"/>
              <w:left w:w="144" w:type="dxa"/>
              <w:bottom w:w="72" w:type="dxa"/>
              <w:right w:w="144" w:type="dxa"/>
            </w:tcMar>
            <w:vAlign w:val="center"/>
            <w:hideMark/>
          </w:tcPr>
          <w:p w14:paraId="458E3E90" w14:textId="77777777" w:rsidR="00032481" w:rsidRPr="00000D70" w:rsidRDefault="00032481" w:rsidP="003A156E">
            <w:pPr>
              <w:rPr>
                <w:rFonts w:cs="Tahoma"/>
              </w:rPr>
            </w:pPr>
            <w:r w:rsidRPr="00000D70">
              <w:rPr>
                <w:rFonts w:cs="Tahoma"/>
              </w:rPr>
              <w:t>72%</w:t>
            </w:r>
          </w:p>
        </w:tc>
      </w:tr>
    </w:tbl>
    <w:p w14:paraId="14391ED1" w14:textId="2228AB20" w:rsidR="00032481" w:rsidRPr="007D2EE8" w:rsidRDefault="00032481" w:rsidP="007D2EE8">
      <w:pPr>
        <w:spacing w:before="240"/>
        <w:rPr>
          <w:rFonts w:cs="Tahoma"/>
        </w:rPr>
      </w:pPr>
      <w:r w:rsidRPr="00CB687E">
        <w:rPr>
          <w:rFonts w:cs="Tahoma"/>
        </w:rPr>
        <w:t>In 2024</w:t>
      </w:r>
      <w:r w:rsidR="00B25BFB" w:rsidRPr="00B25BFB">
        <w:rPr>
          <w:rFonts w:cs="Tahoma"/>
        </w:rPr>
        <w:t>–</w:t>
      </w:r>
      <w:r w:rsidR="00B25BFB">
        <w:rPr>
          <w:rFonts w:cs="Tahoma"/>
        </w:rPr>
        <w:t>20</w:t>
      </w:r>
      <w:r w:rsidRPr="00CB687E">
        <w:rPr>
          <w:rFonts w:cs="Tahoma"/>
        </w:rPr>
        <w:t xml:space="preserve">25 the Centre attended 41 merit hearings/pre-merit hearings; of these, 21 (51%) resulted in pre-hearing/hearing settlements. It is </w:t>
      </w:r>
      <w:r w:rsidR="00582C09" w:rsidRPr="00CB687E">
        <w:rPr>
          <w:rFonts w:cs="Tahoma"/>
        </w:rPr>
        <w:t xml:space="preserve">important </w:t>
      </w:r>
      <w:r w:rsidRPr="00CB687E">
        <w:rPr>
          <w:rFonts w:cs="Tahoma"/>
        </w:rPr>
        <w:t xml:space="preserve">to bear in mind, however, that </w:t>
      </w:r>
      <w:proofErr w:type="gramStart"/>
      <w:r w:rsidRPr="00CB687E">
        <w:rPr>
          <w:rFonts w:cs="Tahoma"/>
        </w:rPr>
        <w:t>the vast majority of</w:t>
      </w:r>
      <w:proofErr w:type="gramEnd"/>
      <w:r w:rsidRPr="00CB687E">
        <w:rPr>
          <w:rFonts w:cs="Tahoma"/>
        </w:rPr>
        <w:t xml:space="preserve"> total settlements (165 of 204) were achieved </w:t>
      </w:r>
      <w:r w:rsidR="00582C09" w:rsidRPr="00CB687E">
        <w:rPr>
          <w:rFonts w:cs="Tahoma"/>
        </w:rPr>
        <w:t xml:space="preserve">through </w:t>
      </w:r>
      <w:r w:rsidRPr="00CB687E">
        <w:rPr>
          <w:rFonts w:cs="Tahoma"/>
        </w:rPr>
        <w:t xml:space="preserve">mediation. </w:t>
      </w:r>
    </w:p>
    <w:p w14:paraId="6E5FFF41" w14:textId="77777777" w:rsidR="00032481" w:rsidRPr="00CB687E" w:rsidRDefault="00032481" w:rsidP="00032481">
      <w:pPr>
        <w:pStyle w:val="Heading3"/>
      </w:pPr>
      <w:bookmarkStart w:id="110" w:name="_Toc204090297"/>
      <w:r w:rsidRPr="00CB687E">
        <w:lastRenderedPageBreak/>
        <w:t>Positive media coverage</w:t>
      </w:r>
      <w:bookmarkEnd w:id="110"/>
    </w:p>
    <w:p w14:paraId="31DC324B" w14:textId="514DE0B9" w:rsidR="00032481" w:rsidRPr="00CB687E" w:rsidRDefault="00032481" w:rsidP="00032481">
      <w:pPr>
        <w:rPr>
          <w:rFonts w:cs="Tahoma"/>
        </w:rPr>
      </w:pPr>
      <w:r w:rsidRPr="00CB687E">
        <w:rPr>
          <w:rFonts w:cs="Tahoma"/>
          <w:i/>
          <w:iCs/>
        </w:rPr>
        <w:t>Performance Measure:</w:t>
      </w:r>
      <w:r w:rsidRPr="00CB687E">
        <w:rPr>
          <w:rFonts w:cs="Tahoma"/>
        </w:rPr>
        <w:t xml:space="preserve"> Ontarians are informed about discrimination, the human rights system and the HRLSC’s services.</w:t>
      </w:r>
    </w:p>
    <w:tbl>
      <w:tblPr>
        <w:tblW w:w="9209" w:type="dxa"/>
        <w:tblCellMar>
          <w:left w:w="0" w:type="dxa"/>
          <w:right w:w="0" w:type="dxa"/>
        </w:tblCellMar>
        <w:tblLook w:val="0420" w:firstRow="1" w:lastRow="0" w:firstColumn="0" w:lastColumn="0" w:noHBand="0" w:noVBand="1"/>
      </w:tblPr>
      <w:tblGrid>
        <w:gridCol w:w="1388"/>
        <w:gridCol w:w="5989"/>
        <w:gridCol w:w="1832"/>
      </w:tblGrid>
      <w:tr w:rsidR="00032481" w:rsidRPr="00CB687E" w14:paraId="12709BB1" w14:textId="77777777" w:rsidTr="003A156E">
        <w:trPr>
          <w:trHeight w:val="1134"/>
        </w:trPr>
        <w:tc>
          <w:tcPr>
            <w:tcW w:w="1395" w:type="dxa"/>
            <w:tcBorders>
              <w:top w:val="single" w:sz="4" w:space="0" w:color="auto"/>
              <w:left w:val="single" w:sz="4" w:space="0" w:color="auto"/>
              <w:bottom w:val="single" w:sz="48" w:space="0" w:color="auto"/>
              <w:right w:val="single" w:sz="4" w:space="0" w:color="auto"/>
            </w:tcBorders>
            <w:shd w:val="clear" w:color="auto" w:fill="E8E8E8" w:themeFill="background2"/>
            <w:tcMar>
              <w:top w:w="72" w:type="dxa"/>
              <w:left w:w="144" w:type="dxa"/>
              <w:bottom w:w="72" w:type="dxa"/>
              <w:right w:w="144" w:type="dxa"/>
            </w:tcMar>
            <w:vAlign w:val="center"/>
            <w:hideMark/>
          </w:tcPr>
          <w:p w14:paraId="67822955" w14:textId="6BAA006D" w:rsidR="00032481" w:rsidRPr="00000D70" w:rsidRDefault="00032481" w:rsidP="003A156E">
            <w:pPr>
              <w:rPr>
                <w:rFonts w:cs="Tahoma"/>
              </w:rPr>
            </w:pPr>
            <w:r w:rsidRPr="00000D70">
              <w:rPr>
                <w:rFonts w:cs="Tahoma"/>
                <w:b/>
                <w:bCs/>
              </w:rPr>
              <w:t>Y</w:t>
            </w:r>
            <w:r w:rsidR="003A156E" w:rsidRPr="00000D70">
              <w:rPr>
                <w:rFonts w:cs="Tahoma"/>
                <w:b/>
                <w:bCs/>
              </w:rPr>
              <w:t>ear</w:t>
            </w:r>
          </w:p>
        </w:tc>
        <w:tc>
          <w:tcPr>
            <w:tcW w:w="6058" w:type="dxa"/>
            <w:tcBorders>
              <w:top w:val="single" w:sz="4" w:space="0" w:color="auto"/>
              <w:left w:val="single" w:sz="4" w:space="0" w:color="auto"/>
              <w:bottom w:val="single" w:sz="48" w:space="0" w:color="auto"/>
              <w:right w:val="single" w:sz="4" w:space="0" w:color="auto"/>
            </w:tcBorders>
            <w:shd w:val="clear" w:color="auto" w:fill="E8E8E8" w:themeFill="background2"/>
            <w:tcMar>
              <w:top w:w="72" w:type="dxa"/>
              <w:left w:w="144" w:type="dxa"/>
              <w:bottom w:w="72" w:type="dxa"/>
              <w:right w:w="144" w:type="dxa"/>
            </w:tcMar>
            <w:vAlign w:val="center"/>
            <w:hideMark/>
          </w:tcPr>
          <w:p w14:paraId="077883AA" w14:textId="77777777" w:rsidR="00032481" w:rsidRPr="00000D70" w:rsidRDefault="00032481" w:rsidP="003A156E">
            <w:pPr>
              <w:rPr>
                <w:rFonts w:cs="Tahoma"/>
              </w:rPr>
            </w:pPr>
            <w:r w:rsidRPr="00000D70">
              <w:rPr>
                <w:rFonts w:cs="Tahoma"/>
                <w:b/>
                <w:bCs/>
              </w:rPr>
              <w:t xml:space="preserve">Performance Target: </w:t>
            </w:r>
          </w:p>
          <w:p w14:paraId="355FC5CF" w14:textId="77777777" w:rsidR="00032481" w:rsidRPr="00000D70" w:rsidRDefault="00032481" w:rsidP="003A156E">
            <w:pPr>
              <w:rPr>
                <w:rFonts w:cs="Tahoma"/>
              </w:rPr>
            </w:pPr>
            <w:r w:rsidRPr="00000D70">
              <w:rPr>
                <w:rFonts w:cs="Tahoma"/>
                <w:b/>
                <w:bCs/>
              </w:rPr>
              <w:t>Obtain positive media coverage for stories of the HRLSC’s service*</w:t>
            </w:r>
          </w:p>
        </w:tc>
        <w:tc>
          <w:tcPr>
            <w:tcW w:w="1756" w:type="dxa"/>
            <w:tcBorders>
              <w:top w:val="single" w:sz="4" w:space="0" w:color="auto"/>
              <w:left w:val="single" w:sz="4" w:space="0" w:color="auto"/>
              <w:bottom w:val="single" w:sz="48" w:space="0" w:color="auto"/>
              <w:right w:val="single" w:sz="4" w:space="0" w:color="auto"/>
            </w:tcBorders>
            <w:shd w:val="clear" w:color="auto" w:fill="E8E8E8" w:themeFill="background2"/>
            <w:tcMar>
              <w:top w:w="72" w:type="dxa"/>
              <w:left w:w="144" w:type="dxa"/>
              <w:bottom w:w="72" w:type="dxa"/>
              <w:right w:w="144" w:type="dxa"/>
            </w:tcMar>
            <w:vAlign w:val="center"/>
            <w:hideMark/>
          </w:tcPr>
          <w:p w14:paraId="363460C1" w14:textId="77777777" w:rsidR="00032481" w:rsidRPr="00000D70" w:rsidRDefault="00032481" w:rsidP="003A156E">
            <w:pPr>
              <w:rPr>
                <w:rFonts w:cs="Tahoma"/>
              </w:rPr>
            </w:pPr>
            <w:r w:rsidRPr="00000D70">
              <w:rPr>
                <w:rFonts w:cs="Tahoma"/>
                <w:b/>
                <w:bCs/>
              </w:rPr>
              <w:t xml:space="preserve">Performance Result </w:t>
            </w:r>
          </w:p>
        </w:tc>
      </w:tr>
      <w:tr w:rsidR="003A156E" w:rsidRPr="00CB687E" w14:paraId="0D7DB55A" w14:textId="77777777" w:rsidTr="003A156E">
        <w:trPr>
          <w:trHeight w:val="567"/>
        </w:trPr>
        <w:tc>
          <w:tcPr>
            <w:tcW w:w="1395" w:type="dxa"/>
            <w:tcBorders>
              <w:top w:val="single" w:sz="48" w:space="0" w:color="auto"/>
              <w:left w:val="single" w:sz="4" w:space="0" w:color="auto"/>
              <w:bottom w:val="single" w:sz="4" w:space="0" w:color="auto"/>
              <w:right w:val="single" w:sz="24" w:space="0" w:color="auto"/>
            </w:tcBorders>
            <w:shd w:val="clear" w:color="auto" w:fill="FFFFFF" w:themeFill="background1"/>
            <w:tcMar>
              <w:top w:w="15" w:type="dxa"/>
              <w:left w:w="108" w:type="dxa"/>
              <w:bottom w:w="0" w:type="dxa"/>
              <w:right w:w="108" w:type="dxa"/>
            </w:tcMar>
            <w:vAlign w:val="center"/>
            <w:hideMark/>
          </w:tcPr>
          <w:p w14:paraId="05118509" w14:textId="02427E25" w:rsidR="003A156E" w:rsidRPr="00000D70" w:rsidRDefault="003A156E" w:rsidP="003A156E">
            <w:pPr>
              <w:rPr>
                <w:rFonts w:cs="Tahoma"/>
              </w:rPr>
            </w:pPr>
            <w:r w:rsidRPr="00000D70">
              <w:rPr>
                <w:rFonts w:cs="Tahoma"/>
              </w:rPr>
              <w:t>2024–25</w:t>
            </w:r>
          </w:p>
        </w:tc>
        <w:tc>
          <w:tcPr>
            <w:tcW w:w="6058" w:type="dxa"/>
            <w:tcBorders>
              <w:top w:val="single" w:sz="48" w:space="0" w:color="auto"/>
              <w:left w:val="single" w:sz="2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0C29526F" w14:textId="77777777" w:rsidR="003A156E" w:rsidRPr="00000D70" w:rsidRDefault="003A156E" w:rsidP="003A156E">
            <w:pPr>
              <w:rPr>
                <w:rFonts w:cs="Tahoma"/>
              </w:rPr>
            </w:pPr>
            <w:r w:rsidRPr="00000D70">
              <w:rPr>
                <w:rFonts w:cs="Tahoma"/>
              </w:rPr>
              <w:t>7 stories</w:t>
            </w:r>
          </w:p>
        </w:tc>
        <w:tc>
          <w:tcPr>
            <w:tcW w:w="1756" w:type="dxa"/>
            <w:tcBorders>
              <w:top w:val="single" w:sz="48"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284C2D97" w14:textId="77777777" w:rsidR="003A156E" w:rsidRPr="00000D70" w:rsidRDefault="003A156E" w:rsidP="003A156E">
            <w:pPr>
              <w:rPr>
                <w:rFonts w:cs="Tahoma"/>
              </w:rPr>
            </w:pPr>
            <w:r w:rsidRPr="00000D70">
              <w:rPr>
                <w:rFonts w:cs="Tahoma"/>
              </w:rPr>
              <w:t>17 stories</w:t>
            </w:r>
          </w:p>
        </w:tc>
      </w:tr>
      <w:tr w:rsidR="00032481" w:rsidRPr="00CB687E" w14:paraId="47060893" w14:textId="77777777" w:rsidTr="003A156E">
        <w:trPr>
          <w:trHeight w:val="567"/>
        </w:trPr>
        <w:tc>
          <w:tcPr>
            <w:tcW w:w="1395" w:type="dxa"/>
            <w:tcBorders>
              <w:top w:val="single" w:sz="4" w:space="0" w:color="auto"/>
              <w:left w:val="single" w:sz="4" w:space="0" w:color="auto"/>
              <w:bottom w:val="single" w:sz="4" w:space="0" w:color="auto"/>
              <w:right w:val="single" w:sz="24" w:space="0" w:color="auto"/>
            </w:tcBorders>
            <w:shd w:val="clear" w:color="auto" w:fill="FFFFFF" w:themeFill="background1"/>
            <w:tcMar>
              <w:top w:w="72" w:type="dxa"/>
              <w:left w:w="144" w:type="dxa"/>
              <w:bottom w:w="72" w:type="dxa"/>
              <w:right w:w="144" w:type="dxa"/>
            </w:tcMar>
            <w:vAlign w:val="center"/>
            <w:hideMark/>
          </w:tcPr>
          <w:p w14:paraId="2AA2F9B7" w14:textId="4BEE0B23" w:rsidR="00032481" w:rsidRPr="00000D70" w:rsidRDefault="00032481" w:rsidP="003A156E">
            <w:pPr>
              <w:rPr>
                <w:rFonts w:cs="Tahoma"/>
              </w:rPr>
            </w:pPr>
            <w:r w:rsidRPr="00000D70">
              <w:rPr>
                <w:rFonts w:cs="Tahoma"/>
              </w:rPr>
              <w:t>2023</w:t>
            </w:r>
            <w:r w:rsidR="0089353B" w:rsidRPr="00000D70">
              <w:rPr>
                <w:rFonts w:cs="Tahoma"/>
              </w:rPr>
              <w:t>–</w:t>
            </w:r>
            <w:r w:rsidRPr="00000D70">
              <w:rPr>
                <w:rFonts w:cs="Tahoma"/>
              </w:rPr>
              <w:t>24</w:t>
            </w:r>
          </w:p>
        </w:tc>
        <w:tc>
          <w:tcPr>
            <w:tcW w:w="6058" w:type="dxa"/>
            <w:tcBorders>
              <w:top w:val="single" w:sz="4" w:space="0" w:color="auto"/>
              <w:left w:val="single" w:sz="2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952A7EA" w14:textId="77777777" w:rsidR="00032481" w:rsidRPr="00000D70" w:rsidRDefault="00032481" w:rsidP="003A156E">
            <w:pPr>
              <w:rPr>
                <w:rFonts w:cs="Tahoma"/>
              </w:rPr>
            </w:pPr>
            <w:r w:rsidRPr="00000D70">
              <w:rPr>
                <w:rFonts w:cs="Tahoma"/>
              </w:rPr>
              <w:t>7 stories</w:t>
            </w:r>
          </w:p>
        </w:tc>
        <w:tc>
          <w:tcPr>
            <w:tcW w:w="1756"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3008BF6" w14:textId="77777777" w:rsidR="00032481" w:rsidRPr="00000D70" w:rsidRDefault="00032481" w:rsidP="003A156E">
            <w:pPr>
              <w:rPr>
                <w:rFonts w:cs="Tahoma"/>
              </w:rPr>
            </w:pPr>
            <w:r w:rsidRPr="00000D70">
              <w:rPr>
                <w:rFonts w:cs="Tahoma"/>
              </w:rPr>
              <w:t>3 stories</w:t>
            </w:r>
          </w:p>
        </w:tc>
      </w:tr>
    </w:tbl>
    <w:p w14:paraId="2925CAD0" w14:textId="2579431D" w:rsidR="00032481" w:rsidRPr="0075049F" w:rsidRDefault="00032481" w:rsidP="00F10839">
      <w:pPr>
        <w:spacing w:before="240"/>
        <w:rPr>
          <w:rFonts w:cs="Tahoma"/>
        </w:rPr>
      </w:pPr>
      <w:r w:rsidRPr="00CB687E">
        <w:rPr>
          <w:rFonts w:cs="Tahoma"/>
        </w:rPr>
        <w:t>The sharp rise in positive media coverage of the Centre by 143% year over year was largely driven by the success of the HRLSC team on cases that were then amplified through refined planning/strategizing by the HRLSC’s newly expanded communications team.</w:t>
      </w:r>
      <w:r w:rsidR="00A6779D">
        <w:rPr>
          <w:rFonts w:cs="Tahoma"/>
        </w:rPr>
        <w:t xml:space="preserve"> </w:t>
      </w:r>
      <w:r w:rsidRPr="00CB687E">
        <w:rPr>
          <w:rFonts w:cs="Tahoma"/>
        </w:rPr>
        <w:t xml:space="preserve">News coverage of the Centre was focused on </w:t>
      </w:r>
      <w:r w:rsidR="003048B2" w:rsidRPr="00CB687E">
        <w:rPr>
          <w:rFonts w:cs="Tahoma"/>
        </w:rPr>
        <w:t xml:space="preserve">the cases </w:t>
      </w:r>
      <w:hyperlink r:id="rId65" w:history="1">
        <w:r w:rsidR="003048B2" w:rsidRPr="00CB687E">
          <w:rPr>
            <w:rStyle w:val="Hyperlink"/>
            <w:rFonts w:cs="Tahoma"/>
            <w:i/>
            <w:iCs/>
          </w:rPr>
          <w:t>Nakogee v. The Corporation of the City of North Bay o/a North Bay Transit</w:t>
        </w:r>
      </w:hyperlink>
      <w:r w:rsidR="003048B2" w:rsidRPr="00CB687E">
        <w:rPr>
          <w:rFonts w:cs="Tahoma"/>
          <w:i/>
          <w:iCs/>
        </w:rPr>
        <w:t xml:space="preserve"> </w:t>
      </w:r>
      <w:r w:rsidR="003048B2" w:rsidRPr="00CB687E">
        <w:rPr>
          <w:rFonts w:cs="Tahoma"/>
        </w:rPr>
        <w:t xml:space="preserve">and </w:t>
      </w:r>
      <w:hyperlink r:id="rId66" w:history="1">
        <w:r w:rsidR="003048B2" w:rsidRPr="00CB687E">
          <w:rPr>
            <w:rStyle w:val="Hyperlink"/>
            <w:rFonts w:cs="Tahoma"/>
            <w:i/>
            <w:iCs/>
          </w:rPr>
          <w:t>A.B. v. Mad Wax Windsor Inc</w:t>
        </w:r>
      </w:hyperlink>
      <w:r w:rsidR="003048B2" w:rsidRPr="00CB687E">
        <w:rPr>
          <w:rFonts w:cs="Tahoma"/>
        </w:rPr>
        <w:t xml:space="preserve">., as well as </w:t>
      </w:r>
      <w:r w:rsidRPr="00CB687E">
        <w:rPr>
          <w:rFonts w:cs="Tahoma"/>
        </w:rPr>
        <w:t>the Annual Report, which is typically not a source of proactive media</w:t>
      </w:r>
      <w:r w:rsidR="003048B2" w:rsidRPr="00CB687E">
        <w:rPr>
          <w:rFonts w:cs="Tahoma"/>
        </w:rPr>
        <w:t xml:space="preserve">. </w:t>
      </w:r>
    </w:p>
    <w:p w14:paraId="6F2687AE" w14:textId="03C3A3C6" w:rsidR="00032481" w:rsidRPr="00CB687E" w:rsidRDefault="00032481" w:rsidP="00032481">
      <w:pPr>
        <w:pStyle w:val="Heading2"/>
      </w:pPr>
      <w:bookmarkStart w:id="111" w:name="_Toc204090298"/>
      <w:r w:rsidRPr="00CB687E">
        <w:t>5.2 Additional KPIs</w:t>
      </w:r>
      <w:bookmarkEnd w:id="111"/>
      <w:r w:rsidRPr="00CB687E">
        <w:t xml:space="preserve"> </w:t>
      </w:r>
    </w:p>
    <w:p w14:paraId="7204D8DC" w14:textId="2A3AF6CF" w:rsidR="00032481" w:rsidRPr="0075049F" w:rsidRDefault="00706750" w:rsidP="00032481">
      <w:pPr>
        <w:rPr>
          <w:rFonts w:cs="Tahoma"/>
        </w:rPr>
      </w:pPr>
      <w:r w:rsidRPr="0015063E">
        <w:rPr>
          <w:noProof/>
        </w:rPr>
        <w:drawing>
          <wp:anchor distT="0" distB="0" distL="114300" distR="114300" simplePos="0" relativeHeight="251679748" behindDoc="0" locked="0" layoutInCell="1" allowOverlap="1" wp14:anchorId="73B07E91" wp14:editId="0FF1B9EE">
            <wp:simplePos x="0" y="0"/>
            <wp:positionH relativeFrom="column">
              <wp:posOffset>2861310</wp:posOffset>
            </wp:positionH>
            <wp:positionV relativeFrom="paragraph">
              <wp:posOffset>697865</wp:posOffset>
            </wp:positionV>
            <wp:extent cx="3115310" cy="2618105"/>
            <wp:effectExtent l="0" t="0" r="8890" b="10795"/>
            <wp:wrapSquare wrapText="bothSides"/>
            <wp:docPr id="171662672" name="Chart 1" descr="Number of settlements (pre-mediation and mediation). Settlements for fiscal years 2021-2022 to 2023-2024 (3-year average): 159. Settlements for fiscal year 2024-2025: 172.">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r w:rsidR="00032481" w:rsidRPr="00CB687E">
        <w:rPr>
          <w:rFonts w:cs="Tahoma"/>
        </w:rPr>
        <w:t xml:space="preserve">In addition to well-established KPIs, such as those above, the HRLSC is expanding the scope of its KPIs on the basis of strategic priorities and goals articulated in its </w:t>
      </w:r>
      <w:hyperlink r:id="rId68" w:history="1">
        <w:r w:rsidR="00945F1E">
          <w:rPr>
            <w:rStyle w:val="Hyperlink"/>
            <w:rFonts w:cs="Tahoma"/>
            <w:i/>
            <w:iCs/>
          </w:rPr>
          <w:t>2024–2029 Strategic Plan</w:t>
        </w:r>
      </w:hyperlink>
      <w:r w:rsidR="00032481" w:rsidRPr="00CB687E">
        <w:rPr>
          <w:rFonts w:cs="Tahoma"/>
        </w:rPr>
        <w:t xml:space="preserve">. </w:t>
      </w:r>
    </w:p>
    <w:p w14:paraId="0B483680" w14:textId="05EB2D71" w:rsidR="00032481" w:rsidRPr="0075049F" w:rsidRDefault="00032481" w:rsidP="0075049F">
      <w:pPr>
        <w:pStyle w:val="Heading3"/>
      </w:pPr>
      <w:bookmarkStart w:id="112" w:name="_Toc204090299"/>
      <w:r w:rsidRPr="00CB687E">
        <w:t>Early Intervention &amp; Mediation Program</w:t>
      </w:r>
      <w:bookmarkEnd w:id="112"/>
    </w:p>
    <w:p w14:paraId="71EC376E" w14:textId="77777777" w:rsidR="00706750" w:rsidRDefault="00B25BFB" w:rsidP="0049394B">
      <w:pPr>
        <w:jc w:val="both"/>
        <w:rPr>
          <w:rFonts w:cs="Tahoma"/>
          <w:u w:val="single"/>
        </w:rPr>
      </w:pPr>
      <w:r w:rsidRPr="00F10839">
        <w:rPr>
          <w:rFonts w:cs="Tahoma"/>
          <w:b/>
          <w:bCs/>
        </w:rPr>
        <w:t xml:space="preserve">Five </w:t>
      </w:r>
      <w:r w:rsidR="00032481" w:rsidRPr="00F10839">
        <w:rPr>
          <w:rFonts w:cs="Tahoma"/>
          <w:b/>
          <w:bCs/>
        </w:rPr>
        <w:t>Year Outcome:</w:t>
      </w:r>
      <w:r w:rsidR="00032481" w:rsidRPr="00F10839">
        <w:rPr>
          <w:rFonts w:cs="Tahoma"/>
        </w:rPr>
        <w:t xml:space="preserve"> People have more early resolution service options, including strengthened mediation supports</w:t>
      </w:r>
    </w:p>
    <w:p w14:paraId="184D81C3" w14:textId="26ADBB03" w:rsidR="00032481" w:rsidRPr="00706750" w:rsidRDefault="00032481" w:rsidP="00D35098">
      <w:pPr>
        <w:pStyle w:val="ListParagraph"/>
        <w:numPr>
          <w:ilvl w:val="0"/>
          <w:numId w:val="32"/>
        </w:numPr>
        <w:ind w:left="360"/>
        <w:rPr>
          <w:rFonts w:cs="Tahoma"/>
          <w:u w:val="single"/>
        </w:rPr>
      </w:pPr>
      <w:r w:rsidRPr="00706750">
        <w:rPr>
          <w:rFonts w:cs="Tahoma"/>
          <w:i/>
          <w:iCs/>
        </w:rPr>
        <w:t>Increase in the number of cases settled via early resolution and at the mediation stage</w:t>
      </w:r>
    </w:p>
    <w:p w14:paraId="417DF70D" w14:textId="78E86049" w:rsidR="00032481" w:rsidRPr="00F10839" w:rsidRDefault="00032481" w:rsidP="00D35098">
      <w:pPr>
        <w:pStyle w:val="ListParagraph"/>
        <w:numPr>
          <w:ilvl w:val="0"/>
          <w:numId w:val="31"/>
        </w:numPr>
        <w:ind w:left="360"/>
        <w:rPr>
          <w:rFonts w:cs="Tahoma"/>
          <w:i/>
          <w:iCs/>
        </w:rPr>
      </w:pPr>
      <w:r w:rsidRPr="00F10839">
        <w:rPr>
          <w:rFonts w:cs="Tahoma"/>
          <w:i/>
          <w:iCs/>
        </w:rPr>
        <w:lastRenderedPageBreak/>
        <w:t>Increase in the number and percentage of cases settled via early resolution</w:t>
      </w:r>
    </w:p>
    <w:p w14:paraId="01B3F4D8" w14:textId="27F9898B" w:rsidR="00032481" w:rsidRPr="008C4EA7" w:rsidRDefault="00032481" w:rsidP="0049394B">
      <w:pPr>
        <w:jc w:val="both"/>
        <w:rPr>
          <w:rFonts w:cs="Tahoma"/>
        </w:rPr>
      </w:pPr>
      <w:r w:rsidRPr="00CB687E">
        <w:rPr>
          <w:rFonts w:cs="Tahoma"/>
        </w:rPr>
        <w:t>In accordance with increased HRTO emphasis on resolving cases via mediation, the Centre has achieved significantly higher numbers of pre-mediation and mediation settlements in 2024</w:t>
      </w:r>
      <w:r w:rsidR="00B25BFB" w:rsidRPr="00B25BFB">
        <w:rPr>
          <w:rFonts w:cs="Tahoma"/>
        </w:rPr>
        <w:t>–</w:t>
      </w:r>
      <w:r w:rsidR="00B25BFB">
        <w:rPr>
          <w:rFonts w:cs="Tahoma"/>
        </w:rPr>
        <w:t>20</w:t>
      </w:r>
      <w:r w:rsidRPr="00CB687E">
        <w:rPr>
          <w:rFonts w:cs="Tahoma"/>
        </w:rPr>
        <w:t xml:space="preserve">25 than in recent previous years. </w:t>
      </w:r>
    </w:p>
    <w:p w14:paraId="6A620C9D" w14:textId="5820ABC8" w:rsidR="00032481" w:rsidRPr="0075049F" w:rsidRDefault="00032481" w:rsidP="0075049F">
      <w:pPr>
        <w:pStyle w:val="Heading3"/>
      </w:pPr>
      <w:bookmarkStart w:id="113" w:name="_Toc204090300"/>
      <w:r w:rsidRPr="00CB687E">
        <w:t>Strategic Outreach and Communications</w:t>
      </w:r>
      <w:bookmarkEnd w:id="113"/>
    </w:p>
    <w:p w14:paraId="40E630B6" w14:textId="328AC604" w:rsidR="00032481" w:rsidRPr="0049394B" w:rsidRDefault="00B25BFB" w:rsidP="00032481">
      <w:pPr>
        <w:rPr>
          <w:rFonts w:cs="Tahoma"/>
        </w:rPr>
      </w:pPr>
      <w:r w:rsidRPr="0049394B">
        <w:rPr>
          <w:rFonts w:cs="Tahoma"/>
          <w:b/>
          <w:bCs/>
        </w:rPr>
        <w:t xml:space="preserve">Five </w:t>
      </w:r>
      <w:r w:rsidR="00032481" w:rsidRPr="0049394B">
        <w:rPr>
          <w:rFonts w:cs="Tahoma"/>
          <w:b/>
          <w:bCs/>
        </w:rPr>
        <w:t>Year Outcome</w:t>
      </w:r>
      <w:r w:rsidR="00032481" w:rsidRPr="0049394B">
        <w:rPr>
          <w:rFonts w:cs="Tahoma"/>
        </w:rPr>
        <w:t xml:space="preserve">: People have improved awareness and understanding of and access to HRLSC services and supports, especially </w:t>
      </w:r>
      <w:r w:rsidR="00933976" w:rsidRPr="0049394B">
        <w:rPr>
          <w:rFonts w:cs="Tahoma"/>
        </w:rPr>
        <w:t xml:space="preserve">those who are most marginalized and vulnerable to discrimination. </w:t>
      </w:r>
    </w:p>
    <w:p w14:paraId="24C0EDB6" w14:textId="76170039" w:rsidR="00032481" w:rsidRDefault="00032481" w:rsidP="00D35098">
      <w:pPr>
        <w:pStyle w:val="ListParagraph"/>
        <w:numPr>
          <w:ilvl w:val="0"/>
          <w:numId w:val="31"/>
        </w:numPr>
        <w:rPr>
          <w:rFonts w:cs="Tahoma"/>
          <w:i/>
          <w:iCs/>
        </w:rPr>
      </w:pPr>
      <w:r w:rsidRPr="0049394B">
        <w:rPr>
          <w:rFonts w:cs="Tahoma"/>
          <w:i/>
          <w:iCs/>
        </w:rPr>
        <w:t>Increase in HRLSC website and social media traffic</w:t>
      </w:r>
    </w:p>
    <w:p w14:paraId="442BC5B2" w14:textId="4BA7B22B" w:rsidR="0049394B" w:rsidRPr="0049394B" w:rsidRDefault="0049394B" w:rsidP="0049394B">
      <w:pPr>
        <w:pStyle w:val="Heading4"/>
      </w:pPr>
      <w:r w:rsidRPr="00CB687E">
        <w:t>HRLSC Website Traffic Year over Year</w:t>
      </w:r>
      <w:r>
        <w:t>:</w:t>
      </w:r>
    </w:p>
    <w:p w14:paraId="33A47D1B" w14:textId="72D714EE" w:rsidR="006B51DD" w:rsidRDefault="00032481" w:rsidP="006B51DD">
      <w:pPr>
        <w:jc w:val="both"/>
        <w:rPr>
          <w:rFonts w:cs="Tahoma"/>
        </w:rPr>
      </w:pPr>
      <w:r w:rsidRPr="00CB687E">
        <w:rPr>
          <w:rFonts w:cs="Tahoma"/>
        </w:rPr>
        <w:t>From 2023</w:t>
      </w:r>
      <w:r w:rsidR="00256896" w:rsidRPr="00256896">
        <w:rPr>
          <w:rFonts w:cs="Tahoma"/>
        </w:rPr>
        <w:t>–</w:t>
      </w:r>
      <w:r w:rsidR="00256896">
        <w:rPr>
          <w:rFonts w:cs="Tahoma"/>
        </w:rPr>
        <w:t>20</w:t>
      </w:r>
      <w:r w:rsidRPr="00CB687E">
        <w:rPr>
          <w:rFonts w:cs="Tahoma"/>
        </w:rPr>
        <w:t>24 to 2024</w:t>
      </w:r>
      <w:r w:rsidR="00256896" w:rsidRPr="00256896">
        <w:rPr>
          <w:rFonts w:cs="Tahoma"/>
        </w:rPr>
        <w:t>–</w:t>
      </w:r>
      <w:r w:rsidR="00256896">
        <w:rPr>
          <w:rFonts w:cs="Tahoma"/>
        </w:rPr>
        <w:t>20</w:t>
      </w:r>
      <w:r w:rsidRPr="00CB687E">
        <w:rPr>
          <w:rFonts w:cs="Tahoma"/>
        </w:rPr>
        <w:t xml:space="preserve">25, website traffic increased 30% from 144,012 to 188,081. </w:t>
      </w:r>
    </w:p>
    <w:p w14:paraId="6AAD8473" w14:textId="2A01F76B" w:rsidR="007E0CCC" w:rsidRDefault="007E0CCC" w:rsidP="004B65C5">
      <w:pPr>
        <w:rPr>
          <w:rFonts w:cs="Tahoma"/>
        </w:rPr>
      </w:pPr>
      <w:r>
        <w:rPr>
          <w:rFonts w:cs="Tahoma"/>
          <w:noProof/>
        </w:rPr>
        <w:drawing>
          <wp:inline distT="0" distB="0" distL="0" distR="0" wp14:anchorId="02784DD0" wp14:editId="287D9A31">
            <wp:extent cx="5410835" cy="2476500"/>
            <wp:effectExtent l="0" t="0" r="0" b="0"/>
            <wp:docPr id="2065013678" name="Picture 20" descr="Visits to the HRLSC website over time (cumulative) 2023-2024: 144,012; 2024-2025: 18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13678" name="Picture 20" descr="Visits to the HRLSC website over time (cumulative) 2023-2024: 144,012; 2024-2025: 188,1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10835" cy="2476500"/>
                    </a:xfrm>
                    <a:prstGeom prst="rect">
                      <a:avLst/>
                    </a:prstGeom>
                    <a:noFill/>
                  </pic:spPr>
                </pic:pic>
              </a:graphicData>
            </a:graphic>
          </wp:inline>
        </w:drawing>
      </w:r>
    </w:p>
    <w:p w14:paraId="294254EA" w14:textId="6011C978" w:rsidR="00032481" w:rsidRPr="0075049F" w:rsidRDefault="00DB4E69" w:rsidP="0049394B">
      <w:pPr>
        <w:pStyle w:val="Heading4"/>
      </w:pPr>
      <w:r>
        <w:rPr>
          <w:noProof/>
        </w:rPr>
        <w:drawing>
          <wp:anchor distT="0" distB="0" distL="114300" distR="114300" simplePos="0" relativeHeight="251710468" behindDoc="1" locked="0" layoutInCell="1" allowOverlap="1" wp14:anchorId="058381C4" wp14:editId="46BC59D3">
            <wp:simplePos x="914400" y="914400"/>
            <wp:positionH relativeFrom="margin">
              <wp:align>left</wp:align>
            </wp:positionH>
            <wp:positionV relativeFrom="margin">
              <wp:align>bottom</wp:align>
            </wp:positionV>
            <wp:extent cx="3239770" cy="2591435"/>
            <wp:effectExtent l="0" t="0" r="17780" b="18415"/>
            <wp:wrapSquare wrapText="bothSides"/>
            <wp:docPr id="1046352485" name="Chart 1" descr="Title: Media coverage. &#10;&#10;Media coverage mentioning CAJDP for the 2023-2024 fiscal year: 4; 2024-2025: 16. &#10;&#10;General media coverage for the 2023-2024 fiscal year: 3; 2024-2025: 1. &#10;">
              <a:extLst xmlns:a="http://schemas.openxmlformats.org/drawingml/2006/main">
                <a:ext uri="{FF2B5EF4-FFF2-40B4-BE49-F238E27FC236}">
                  <a16:creationId xmlns:a16="http://schemas.microsoft.com/office/drawing/2014/main" id="{FB811B5D-B5A2-ECF7-CD37-3FA155DF7F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rsidRPr="00CB687E">
        <w:t xml:space="preserve"> </w:t>
      </w:r>
      <w:r w:rsidR="00032481" w:rsidRPr="00CB687E">
        <w:t xml:space="preserve">Media Year </w:t>
      </w:r>
      <w:r w:rsidR="008A0657">
        <w:t>o</w:t>
      </w:r>
      <w:r w:rsidR="00032481" w:rsidRPr="00CB687E">
        <w:t xml:space="preserve">ver Year </w:t>
      </w:r>
    </w:p>
    <w:p w14:paraId="11096D39" w14:textId="13285D79" w:rsidR="007028B4" w:rsidRDefault="00032481" w:rsidP="00032481">
      <w:pPr>
        <w:rPr>
          <w:rFonts w:cs="Tahoma"/>
        </w:rPr>
      </w:pPr>
      <w:r w:rsidRPr="00CB687E">
        <w:rPr>
          <w:rFonts w:cs="Tahoma"/>
        </w:rPr>
        <w:t>In the 2024</w:t>
      </w:r>
      <w:r w:rsidR="00256896" w:rsidRPr="00256896">
        <w:rPr>
          <w:rFonts w:cs="Tahoma"/>
        </w:rPr>
        <w:t>–</w:t>
      </w:r>
      <w:r w:rsidRPr="00CB687E">
        <w:rPr>
          <w:rFonts w:cs="Tahoma"/>
        </w:rPr>
        <w:t xml:space="preserve">2025 fiscal year, </w:t>
      </w:r>
      <w:proofErr w:type="gramStart"/>
      <w:r w:rsidRPr="00CB687E">
        <w:rPr>
          <w:rFonts w:cs="Tahoma"/>
        </w:rPr>
        <w:t>16</w:t>
      </w:r>
      <w:proofErr w:type="gramEnd"/>
      <w:r w:rsidRPr="00CB687E">
        <w:rPr>
          <w:rFonts w:cs="Tahoma"/>
        </w:rPr>
        <w:t xml:space="preserve"> out of 17 positive media stories mention HRLSC by name, compared to 2023</w:t>
      </w:r>
      <w:r w:rsidR="00256896" w:rsidRPr="00256896">
        <w:rPr>
          <w:rFonts w:cs="Tahoma"/>
        </w:rPr>
        <w:t>–</w:t>
      </w:r>
      <w:r w:rsidRPr="00CB687E">
        <w:rPr>
          <w:rFonts w:cs="Tahoma"/>
        </w:rPr>
        <w:t xml:space="preserve">2024, where </w:t>
      </w:r>
      <w:r w:rsidR="008A0657">
        <w:rPr>
          <w:rFonts w:cs="Tahoma"/>
        </w:rPr>
        <w:t>four</w:t>
      </w:r>
      <w:r w:rsidRPr="00CB687E">
        <w:rPr>
          <w:rFonts w:cs="Tahoma"/>
        </w:rPr>
        <w:t xml:space="preserve"> out of </w:t>
      </w:r>
      <w:r w:rsidR="008A0657">
        <w:rPr>
          <w:rFonts w:cs="Tahoma"/>
        </w:rPr>
        <w:t>seven</w:t>
      </w:r>
      <w:r w:rsidRPr="00CB687E">
        <w:rPr>
          <w:rFonts w:cs="Tahoma"/>
        </w:rPr>
        <w:t xml:space="preserve"> mentioned HRLSC by name. This represents a 143% increase in media coverage, with a 300% increase in profile growth</w:t>
      </w:r>
      <w:r w:rsidR="00004833" w:rsidRPr="00CB687E">
        <w:rPr>
          <w:rFonts w:cs="Tahoma"/>
        </w:rPr>
        <w:t xml:space="preserve"> (from </w:t>
      </w:r>
      <w:r w:rsidR="008A0657">
        <w:rPr>
          <w:rFonts w:cs="Tahoma"/>
        </w:rPr>
        <w:t>four</w:t>
      </w:r>
      <w:r w:rsidR="00004833" w:rsidRPr="00CB687E">
        <w:rPr>
          <w:rFonts w:cs="Tahoma"/>
        </w:rPr>
        <w:t xml:space="preserve"> to 16 positive media stories)</w:t>
      </w:r>
      <w:r w:rsidRPr="00CB687E">
        <w:rPr>
          <w:rFonts w:cs="Tahoma"/>
        </w:rPr>
        <w:t>.</w:t>
      </w:r>
    </w:p>
    <w:p w14:paraId="65EF5A6F" w14:textId="5E79E2DB" w:rsidR="00032481" w:rsidRDefault="00032481" w:rsidP="00032481">
      <w:pPr>
        <w:pStyle w:val="Heading3"/>
      </w:pPr>
      <w:bookmarkStart w:id="114" w:name="_Toc204090301"/>
      <w:r w:rsidRPr="00CB687E">
        <w:lastRenderedPageBreak/>
        <w:t>Increasing Access to Services</w:t>
      </w:r>
      <w:bookmarkEnd w:id="114"/>
    </w:p>
    <w:p w14:paraId="0C66606B" w14:textId="20E90E24" w:rsidR="001826CB" w:rsidRPr="001826CB" w:rsidRDefault="001826CB" w:rsidP="001826CB">
      <w:r>
        <w:rPr>
          <w:noProof/>
        </w:rPr>
        <w:drawing>
          <wp:inline distT="0" distB="0" distL="0" distR="0" wp14:anchorId="27D03812" wp14:editId="64B7987B">
            <wp:extent cx="5892800" cy="3169920"/>
            <wp:effectExtent l="0" t="0" r="12700" b="11430"/>
            <wp:docPr id="1125444250" name="Chart 1" descr="Title: Increasing demand for HRLSC legal support services as measured by number of inquiries when HRLSC provided  summary legal advice - 6 year trend. Number of responses to inquiries for the 2019-2020 fiscal year: 19,048; 2020-2021: 17,579; 2021-2022: 18,577; 2022-2023: 17,521; 2023-2024: 19,292; 2024-2025: 24,426.">
              <a:extLst xmlns:a="http://schemas.openxmlformats.org/drawingml/2006/main">
                <a:ext uri="{FF2B5EF4-FFF2-40B4-BE49-F238E27FC236}">
                  <a16:creationId xmlns:a16="http://schemas.microsoft.com/office/drawing/2014/main" id="{D22790F9-DEEF-BB02-2017-558228F707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4177276" w14:textId="64E57C5B" w:rsidR="00032481" w:rsidRPr="00D35098" w:rsidRDefault="00032481" w:rsidP="00D35098">
      <w:pPr>
        <w:pStyle w:val="Heading3"/>
      </w:pPr>
      <w:bookmarkStart w:id="115" w:name="_Toc204090302"/>
      <w:r w:rsidRPr="00D35098">
        <w:t>Increase in use of services by most marginalized populations</w:t>
      </w:r>
      <w:bookmarkEnd w:id="115"/>
    </w:p>
    <w:p w14:paraId="0BFFD51C" w14:textId="2576130A" w:rsidR="00032481" w:rsidRDefault="00032481" w:rsidP="00032481">
      <w:r w:rsidRPr="00CB687E">
        <w:t>In addition to an increase in Indigenous service calls in 2024</w:t>
      </w:r>
      <w:r w:rsidR="00E332CF" w:rsidRPr="00E332CF">
        <w:t>–</w:t>
      </w:r>
      <w:r w:rsidR="00E332CF">
        <w:t>20</w:t>
      </w:r>
      <w:r w:rsidRPr="00CB687E">
        <w:t xml:space="preserve">25 compared to the preceding two years, the number of Indigenous services mediation interviews has increased continuously for the past four years. </w:t>
      </w:r>
    </w:p>
    <w:p w14:paraId="4917EE1E" w14:textId="295DD471" w:rsidR="007525F6" w:rsidRPr="00CB687E" w:rsidRDefault="00F30540">
      <w:pPr>
        <w:rPr>
          <w:rFonts w:ascii="Arial" w:hAnsi="Arial" w:cs="Arial"/>
        </w:rPr>
      </w:pPr>
      <w:r>
        <w:rPr>
          <w:rFonts w:ascii="Arial" w:hAnsi="Arial" w:cs="Arial"/>
          <w:noProof/>
        </w:rPr>
        <w:drawing>
          <wp:anchor distT="0" distB="0" distL="114300" distR="114300" simplePos="0" relativeHeight="251683844" behindDoc="0" locked="0" layoutInCell="1" allowOverlap="1" wp14:anchorId="1B420DE9" wp14:editId="278CE356">
            <wp:simplePos x="0" y="0"/>
            <wp:positionH relativeFrom="column">
              <wp:posOffset>3006294</wp:posOffset>
            </wp:positionH>
            <wp:positionV relativeFrom="paragraph">
              <wp:posOffset>178012</wp:posOffset>
            </wp:positionV>
            <wp:extent cx="2952106" cy="2476800"/>
            <wp:effectExtent l="0" t="0" r="1270" b="0"/>
            <wp:wrapSquare wrapText="bothSides"/>
            <wp:docPr id="2108250361" name="Chart 1" descr="Title: Indigenous Services - Interviews (number of individuals). Number of mediation interviews during fiscal year 2021-2022: 7; 2022-2023: 14; 2023-2024: 22; 2024-2025: 33.">
              <a:extLst xmlns:a="http://schemas.openxmlformats.org/drawingml/2006/main">
                <a:ext uri="{FF2B5EF4-FFF2-40B4-BE49-F238E27FC236}">
                  <a16:creationId xmlns:a16="http://schemas.microsoft.com/office/drawing/2014/main" id="{59AD2DCC-39DF-56BF-33C9-5697E6C1C1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r>
        <w:rPr>
          <w:rFonts w:ascii="Arial" w:hAnsi="Arial" w:cs="Arial"/>
          <w:noProof/>
        </w:rPr>
        <w:drawing>
          <wp:anchor distT="0" distB="0" distL="114300" distR="114300" simplePos="0" relativeHeight="251684868" behindDoc="0" locked="0" layoutInCell="1" allowOverlap="1" wp14:anchorId="0FABC088" wp14:editId="2280E53C">
            <wp:simplePos x="0" y="0"/>
            <wp:positionH relativeFrom="column">
              <wp:posOffset>50800</wp:posOffset>
            </wp:positionH>
            <wp:positionV relativeFrom="paragraph">
              <wp:posOffset>178012</wp:posOffset>
            </wp:positionV>
            <wp:extent cx="2952106" cy="2476800"/>
            <wp:effectExtent l="0" t="0" r="1270" b="0"/>
            <wp:wrapSquare wrapText="bothSides"/>
            <wp:docPr id="1054854266" name="Chart 1" descr="Title: ISOC Service Calls. &#10;&#10;Number of calls entered during the 2022-2023 fiscal year: 691; 2023-2024: 936; 2024-2025: 957.&#10;&#10;Number of calls accepted during the 2022-2023 fiscal year: 595; 2023-2024: 800; 2024-2025: 822.&#10;&#10;Percentage of appeals accepted during the 2022-2023 fiscal year: 86%; 2023-2024: 85%; 2024-2025: 86%.">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r w:rsidR="007525F6" w:rsidRPr="00CB687E">
        <w:rPr>
          <w:rFonts w:ascii="Arial" w:hAnsi="Arial" w:cs="Arial"/>
        </w:rPr>
        <w:br w:type="page"/>
      </w:r>
    </w:p>
    <w:p w14:paraId="447ACCBF" w14:textId="043524B4" w:rsidR="006E19AC" w:rsidRPr="00CB687E" w:rsidRDefault="006E19AC" w:rsidP="00D35098">
      <w:pPr>
        <w:pStyle w:val="Heading1"/>
        <w:numPr>
          <w:ilvl w:val="0"/>
          <w:numId w:val="13"/>
        </w:numPr>
      </w:pPr>
      <w:bookmarkStart w:id="116" w:name="_Toc204090303"/>
      <w:r w:rsidRPr="00CB687E">
        <w:lastRenderedPageBreak/>
        <w:t>Mandate Letter Priorities</w:t>
      </w:r>
      <w:bookmarkEnd w:id="116"/>
    </w:p>
    <w:p w14:paraId="00B580F9" w14:textId="59E20623" w:rsidR="00D35ADD" w:rsidRPr="00CB687E" w:rsidRDefault="00D35ADD" w:rsidP="00D35ADD">
      <w:pPr>
        <w:jc w:val="both"/>
      </w:pPr>
      <w:r w:rsidRPr="00CB687E">
        <w:t>From year to year, Ministry of the Attorney General (MAG) identifies specific expectations of the Provincial government of the HRLSC through Mandate Letters. Per the Agencies and Appointments Directive, agencies are required</w:t>
      </w:r>
      <w:r w:rsidRPr="00CB687E">
        <w:rPr>
          <w:spacing w:val="-4"/>
        </w:rPr>
        <w:t xml:space="preserve"> </w:t>
      </w:r>
      <w:r w:rsidRPr="00CB687E">
        <w:t>to</w:t>
      </w:r>
      <w:r w:rsidRPr="00CB687E">
        <w:rPr>
          <w:spacing w:val="-4"/>
        </w:rPr>
        <w:t xml:space="preserve"> </w:t>
      </w:r>
      <w:r w:rsidRPr="00CB687E">
        <w:t>align</w:t>
      </w:r>
      <w:r w:rsidRPr="00CB687E">
        <w:rPr>
          <w:spacing w:val="-4"/>
        </w:rPr>
        <w:t xml:space="preserve"> </w:t>
      </w:r>
      <w:r w:rsidRPr="00CB687E">
        <w:t>goals,</w:t>
      </w:r>
      <w:r w:rsidRPr="00CB687E">
        <w:rPr>
          <w:spacing w:val="-2"/>
        </w:rPr>
        <w:t xml:space="preserve"> </w:t>
      </w:r>
      <w:r w:rsidRPr="00CB687E">
        <w:t>objectives</w:t>
      </w:r>
      <w:r w:rsidRPr="00CB687E">
        <w:rPr>
          <w:spacing w:val="-4"/>
        </w:rPr>
        <w:t xml:space="preserve"> </w:t>
      </w:r>
      <w:r w:rsidRPr="00CB687E">
        <w:t>and</w:t>
      </w:r>
      <w:r w:rsidRPr="00CB687E">
        <w:rPr>
          <w:spacing w:val="-4"/>
        </w:rPr>
        <w:t xml:space="preserve"> </w:t>
      </w:r>
      <w:r w:rsidRPr="00CB687E">
        <w:t>strategic</w:t>
      </w:r>
      <w:r w:rsidRPr="00CB687E">
        <w:rPr>
          <w:spacing w:val="-4"/>
        </w:rPr>
        <w:t xml:space="preserve"> </w:t>
      </w:r>
      <w:r w:rsidRPr="00CB687E">
        <w:t>direction</w:t>
      </w:r>
      <w:r w:rsidRPr="00CB687E">
        <w:rPr>
          <w:spacing w:val="-4"/>
        </w:rPr>
        <w:t xml:space="preserve"> </w:t>
      </w:r>
      <w:r w:rsidRPr="00CB687E">
        <w:t>with</w:t>
      </w:r>
      <w:r w:rsidRPr="00CB687E">
        <w:rPr>
          <w:spacing w:val="-4"/>
        </w:rPr>
        <w:t xml:space="preserve"> </w:t>
      </w:r>
      <w:r w:rsidRPr="00CB687E">
        <w:t>the</w:t>
      </w:r>
      <w:r w:rsidRPr="00CB687E">
        <w:rPr>
          <w:spacing w:val="-3"/>
        </w:rPr>
        <w:t xml:space="preserve"> </w:t>
      </w:r>
      <w:r w:rsidRPr="00CB687E">
        <w:t>government’s</w:t>
      </w:r>
      <w:r w:rsidRPr="00CB687E">
        <w:rPr>
          <w:spacing w:val="-4"/>
        </w:rPr>
        <w:t xml:space="preserve"> </w:t>
      </w:r>
      <w:r w:rsidRPr="00CB687E">
        <w:t xml:space="preserve">priorities and direction. The Mandate Letters outline the general priorities for all </w:t>
      </w:r>
      <w:r w:rsidR="00FF7405">
        <w:t>a</w:t>
      </w:r>
      <w:r w:rsidRPr="00CB687E">
        <w:t xml:space="preserve">gencies and specify the particularized priorities for the Centre. </w:t>
      </w:r>
    </w:p>
    <w:p w14:paraId="5810345C" w14:textId="0B1E07C7" w:rsidR="00D35ADD" w:rsidRPr="00CB687E" w:rsidRDefault="00D35ADD" w:rsidP="00D35ADD">
      <w:pPr>
        <w:jc w:val="both"/>
      </w:pPr>
      <w:r w:rsidRPr="00CB687E">
        <w:t xml:space="preserve">Below, we have summarized each </w:t>
      </w:r>
      <w:r w:rsidR="00804CEF" w:rsidRPr="00CB687E">
        <w:t xml:space="preserve">government </w:t>
      </w:r>
      <w:r w:rsidRPr="00CB687E">
        <w:t xml:space="preserve">priority </w:t>
      </w:r>
      <w:r w:rsidR="00804CEF" w:rsidRPr="00CB687E">
        <w:t xml:space="preserve">for HRLSC </w:t>
      </w:r>
      <w:r w:rsidRPr="00CB687E">
        <w:t xml:space="preserve">presented in </w:t>
      </w:r>
      <w:r w:rsidR="00804CEF" w:rsidRPr="00CB687E">
        <w:t>MAG’s 2024</w:t>
      </w:r>
      <w:r w:rsidR="00C01EA4" w:rsidRPr="00C01EA4">
        <w:t>–</w:t>
      </w:r>
      <w:r w:rsidR="00804CEF" w:rsidRPr="00CB687E">
        <w:t xml:space="preserve">2025 </w:t>
      </w:r>
      <w:r w:rsidRPr="00CB687E">
        <w:t xml:space="preserve">Mandate Letter </w:t>
      </w:r>
      <w:r w:rsidR="00C7574B" w:rsidRPr="00CB687E">
        <w:t>of Directive</w:t>
      </w:r>
      <w:r w:rsidRPr="00CB687E">
        <w:t xml:space="preserve">, and the progress made on </w:t>
      </w:r>
      <w:r w:rsidR="00C7574B" w:rsidRPr="00CB687E">
        <w:t xml:space="preserve">associated </w:t>
      </w:r>
      <w:r w:rsidRPr="00CB687E">
        <w:t>initiatives in the 2024</w:t>
      </w:r>
      <w:r w:rsidR="00C01EA4" w:rsidRPr="00C01EA4">
        <w:t>–</w:t>
      </w:r>
      <w:r w:rsidRPr="00CB687E">
        <w:t>2025 fiscal period.</w:t>
      </w:r>
    </w:p>
    <w:p w14:paraId="447F3B30" w14:textId="6657F99F" w:rsidR="00D35ADD" w:rsidRPr="00CB687E" w:rsidRDefault="00D35ADD" w:rsidP="00D35ADD">
      <w:pPr>
        <w:pStyle w:val="Heading2"/>
      </w:pPr>
      <w:bookmarkStart w:id="117" w:name="_Toc204090304"/>
      <w:r w:rsidRPr="00CB687E">
        <w:t>6.1 HRLSC Specific Priorities</w:t>
      </w:r>
      <w:bookmarkEnd w:id="117"/>
    </w:p>
    <w:p w14:paraId="600E819E" w14:textId="1A1D20CE" w:rsidR="00D35ADD" w:rsidRPr="00CB687E" w:rsidRDefault="00D35ADD" w:rsidP="00D35ADD">
      <w:pPr>
        <w:pStyle w:val="Heading3"/>
      </w:pPr>
      <w:bookmarkStart w:id="118" w:name="_Toc204090305"/>
      <w:r w:rsidRPr="00CB687E">
        <w:t>6.1.1 Implementation of 2022</w:t>
      </w:r>
      <w:r w:rsidR="00C01EA4" w:rsidRPr="00C01EA4">
        <w:t>–</w:t>
      </w:r>
      <w:r w:rsidR="00256896">
        <w:t>20</w:t>
      </w:r>
      <w:r w:rsidRPr="00CB687E">
        <w:t>23 Mandate Review Recommendations</w:t>
      </w:r>
      <w:bookmarkEnd w:id="118"/>
    </w:p>
    <w:p w14:paraId="278F7ACB" w14:textId="75E933B9" w:rsidR="00D35ADD" w:rsidRPr="00CB687E" w:rsidRDefault="00D35ADD" w:rsidP="00D35ADD">
      <w:pPr>
        <w:widowControl w:val="0"/>
        <w:tabs>
          <w:tab w:val="left" w:pos="836"/>
          <w:tab w:val="left" w:pos="838"/>
        </w:tabs>
        <w:autoSpaceDE w:val="0"/>
        <w:autoSpaceDN w:val="0"/>
        <w:spacing w:after="0" w:line="276" w:lineRule="auto"/>
        <w:ind w:right="127"/>
      </w:pPr>
      <w:r w:rsidRPr="00CB687E">
        <w:t>Government priorities specific to the HRLSC include continuing</w:t>
      </w:r>
      <w:r w:rsidRPr="00CB687E">
        <w:rPr>
          <w:spacing w:val="-4"/>
        </w:rPr>
        <w:t xml:space="preserve"> </w:t>
      </w:r>
      <w:r w:rsidRPr="00CB687E">
        <w:t>to</w:t>
      </w:r>
      <w:r w:rsidRPr="00CB687E">
        <w:rPr>
          <w:spacing w:val="-4"/>
        </w:rPr>
        <w:t xml:space="preserve"> </w:t>
      </w:r>
      <w:r w:rsidRPr="00CB687E">
        <w:t>prioritize</w:t>
      </w:r>
      <w:r w:rsidRPr="00CB687E">
        <w:rPr>
          <w:spacing w:val="-4"/>
        </w:rPr>
        <w:t xml:space="preserve"> </w:t>
      </w:r>
      <w:r w:rsidRPr="00CB687E">
        <w:t>addressing</w:t>
      </w:r>
      <w:r w:rsidRPr="00CB687E">
        <w:rPr>
          <w:spacing w:val="-4"/>
        </w:rPr>
        <w:t xml:space="preserve"> </w:t>
      </w:r>
      <w:r w:rsidRPr="00CB687E">
        <w:t>the</w:t>
      </w:r>
      <w:r w:rsidRPr="00CB687E">
        <w:rPr>
          <w:spacing w:val="-4"/>
        </w:rPr>
        <w:t xml:space="preserve"> </w:t>
      </w:r>
      <w:r w:rsidRPr="00CB687E">
        <w:t>recommendations of the 2022</w:t>
      </w:r>
      <w:r w:rsidR="00477FAB" w:rsidRPr="00477FAB">
        <w:t>–</w:t>
      </w:r>
      <w:r w:rsidR="00477FAB">
        <w:t>20</w:t>
      </w:r>
      <w:r w:rsidRPr="00CB687E">
        <w:t>23 mandate review approved by Treasury Board Secretariat (TBS). This included specific recommendations focused on the possibility of implementing financial eligibility criteria, strengthening data collection, and leveraging client data to inform decision-making.</w:t>
      </w:r>
    </w:p>
    <w:p w14:paraId="466682E8" w14:textId="77777777" w:rsidR="00D35ADD" w:rsidRPr="00CB687E" w:rsidRDefault="00D35ADD" w:rsidP="00D35ADD">
      <w:pPr>
        <w:widowControl w:val="0"/>
        <w:tabs>
          <w:tab w:val="left" w:pos="836"/>
          <w:tab w:val="left" w:pos="838"/>
        </w:tabs>
        <w:autoSpaceDE w:val="0"/>
        <w:autoSpaceDN w:val="0"/>
        <w:spacing w:after="0" w:line="276" w:lineRule="auto"/>
        <w:ind w:right="127"/>
      </w:pPr>
    </w:p>
    <w:p w14:paraId="65B8CADB" w14:textId="682D21B7" w:rsidR="00D35ADD" w:rsidRPr="00CB687E" w:rsidRDefault="00D35ADD" w:rsidP="00D35ADD">
      <w:pPr>
        <w:spacing w:line="276" w:lineRule="auto"/>
      </w:pPr>
      <w:r w:rsidRPr="00CB687E">
        <w:t xml:space="preserve">The HRLSC began work this year on creating an organizational data collection and reporting framework with KPIs to monitor organizational performance and inform decision-making, including in furtherance of the Mandate Letter and the Strategic Plan goal of improving HRLSC’s capacity to use data, client feedback and evidence to inform decisions and service delivery. A </w:t>
      </w:r>
      <w:r w:rsidR="00287471">
        <w:t>r</w:t>
      </w:r>
      <w:r w:rsidR="00287471" w:rsidRPr="00CB687E">
        <w:t xml:space="preserve">esearch </w:t>
      </w:r>
      <w:r w:rsidR="00287471">
        <w:t>a</w:t>
      </w:r>
      <w:r w:rsidR="00287471" w:rsidRPr="00CB687E">
        <w:t xml:space="preserve">dvisor </w:t>
      </w:r>
      <w:r w:rsidRPr="00CB687E">
        <w:t xml:space="preserve">was hired for this purpose, and work was commenced, including defining categories and methods, for the collection of socio-demographic data collection, which the HRLSC aims to launch in the </w:t>
      </w:r>
      <w:r w:rsidR="00163ED1">
        <w:t>20</w:t>
      </w:r>
      <w:r w:rsidRPr="00CB687E">
        <w:t>25</w:t>
      </w:r>
      <w:r w:rsidR="00163ED1" w:rsidRPr="00163ED1">
        <w:t>–</w:t>
      </w:r>
      <w:r w:rsidR="00163ED1">
        <w:t>20</w:t>
      </w:r>
      <w:r w:rsidRPr="00CB687E">
        <w:t>26 fiscal year. The HRLSC acknowledges that data is vital for equity-centred service delivery and for advancing contemporary human rights litigation, particularly in matters involving intersecting identity factors, such as race, sex, disability, gender, Indigeneity, income level, immigration status, to reveal systemic disparities and promote public interest remedies.</w:t>
      </w:r>
    </w:p>
    <w:p w14:paraId="7D4B25D2" w14:textId="77777777" w:rsidR="00D35ADD" w:rsidRPr="00CB687E" w:rsidRDefault="00D35ADD" w:rsidP="00D35ADD">
      <w:pPr>
        <w:pStyle w:val="Heading2"/>
      </w:pPr>
      <w:bookmarkStart w:id="119" w:name="_Toc204090306"/>
      <w:r w:rsidRPr="00CB687E">
        <w:lastRenderedPageBreak/>
        <w:t>6.2 Government-wide Priorities for Board-Governed Provincial Agencies</w:t>
      </w:r>
      <w:bookmarkEnd w:id="119"/>
    </w:p>
    <w:p w14:paraId="46F6E991" w14:textId="77777777" w:rsidR="00D35ADD" w:rsidRPr="00CB687E" w:rsidRDefault="00D35ADD" w:rsidP="00D35ADD">
      <w:r w:rsidRPr="00CB687E">
        <w:t>The following subsection sets out government-wide priorities for board-governed provincial agencies, alongside HRLSC efforts to advance these priorities.</w:t>
      </w:r>
    </w:p>
    <w:p w14:paraId="096B3852" w14:textId="77777777" w:rsidR="00D35ADD" w:rsidRPr="00CB687E" w:rsidRDefault="00D35ADD" w:rsidP="00D35ADD">
      <w:pPr>
        <w:pStyle w:val="Heading3"/>
      </w:pPr>
      <w:bookmarkStart w:id="120" w:name="_Toc201323052"/>
      <w:bookmarkStart w:id="121" w:name="_Toc204090307"/>
      <w:r w:rsidRPr="00CB687E">
        <w:t>6.</w:t>
      </w:r>
      <w:bookmarkEnd w:id="120"/>
      <w:r w:rsidRPr="00CB687E">
        <w:t>1. Competitiveness, Sustainability and Expenditure Management</w:t>
      </w:r>
      <w:bookmarkEnd w:id="121"/>
    </w:p>
    <w:p w14:paraId="715C50B1" w14:textId="77777777" w:rsidR="00D35ADD" w:rsidRPr="00CB687E" w:rsidRDefault="00D35ADD" w:rsidP="00D35ADD">
      <w:pPr>
        <w:rPr>
          <w:b/>
          <w:bCs/>
        </w:rPr>
      </w:pPr>
      <w:r w:rsidRPr="00CB687E">
        <w:rPr>
          <w:b/>
          <w:bCs/>
        </w:rPr>
        <w:t>Government priorities in this respect included:</w:t>
      </w:r>
    </w:p>
    <w:p w14:paraId="7D908B43" w14:textId="6AC55B47" w:rsidR="00D35ADD" w:rsidRPr="00CB687E" w:rsidRDefault="00D35ADD" w:rsidP="00D35098">
      <w:pPr>
        <w:numPr>
          <w:ilvl w:val="0"/>
          <w:numId w:val="19"/>
        </w:numPr>
        <w:spacing w:after="0"/>
        <w:ind w:left="426"/>
      </w:pPr>
      <w:r w:rsidRPr="00CB687E">
        <w:t>Identifying and pursuing opportunities for revenue generation, efficiencies, and savings through innovative practices, and/or improved program sustainability.</w:t>
      </w:r>
    </w:p>
    <w:p w14:paraId="2D3B7803" w14:textId="62557B6F" w:rsidR="00D35ADD" w:rsidRPr="00CB687E" w:rsidRDefault="00D35ADD" w:rsidP="00D35098">
      <w:pPr>
        <w:numPr>
          <w:ilvl w:val="0"/>
          <w:numId w:val="19"/>
        </w:numPr>
        <w:spacing w:after="0"/>
        <w:ind w:left="426"/>
      </w:pPr>
      <w:r w:rsidRPr="00CB687E">
        <w:t>Complying with applicable direction related to accounting practices and supply chain centralization, including leveraging Supply Ontario’s bulk purchasing arrangement and working with Supply Ontario on strategic procurement initiatives.</w:t>
      </w:r>
    </w:p>
    <w:p w14:paraId="5D77C981" w14:textId="6F146E46" w:rsidR="00D35ADD" w:rsidRPr="00CB687E" w:rsidRDefault="00D35ADD" w:rsidP="00D35098">
      <w:pPr>
        <w:numPr>
          <w:ilvl w:val="0"/>
          <w:numId w:val="19"/>
        </w:numPr>
        <w:spacing w:after="0"/>
        <w:ind w:left="426"/>
      </w:pPr>
      <w:r w:rsidRPr="00CB687E">
        <w:t>Complying with realty interim measures for agency office space.</w:t>
      </w:r>
    </w:p>
    <w:p w14:paraId="577A3F77" w14:textId="7DD77640" w:rsidR="00D35ADD" w:rsidRPr="00CB687E" w:rsidRDefault="00D35ADD" w:rsidP="00D35098">
      <w:pPr>
        <w:numPr>
          <w:ilvl w:val="0"/>
          <w:numId w:val="19"/>
        </w:numPr>
        <w:ind w:left="426"/>
      </w:pPr>
      <w:r w:rsidRPr="00CB687E">
        <w:t>Leverage and meet benchmarked outcomes for compensation strategies and directives.</w:t>
      </w:r>
    </w:p>
    <w:p w14:paraId="07E19DC3" w14:textId="77777777" w:rsidR="00D35ADD" w:rsidRPr="00CB687E" w:rsidRDefault="00D35ADD" w:rsidP="00D35ADD">
      <w:pPr>
        <w:jc w:val="both"/>
        <w:rPr>
          <w:b/>
          <w:bCs/>
        </w:rPr>
      </w:pPr>
      <w:r w:rsidRPr="00CB687E">
        <w:rPr>
          <w:b/>
          <w:bCs/>
        </w:rPr>
        <w:t>Notable Achievements:</w:t>
      </w:r>
    </w:p>
    <w:p w14:paraId="756DFA08" w14:textId="2673523B" w:rsidR="00D35ADD" w:rsidRPr="00CB687E" w:rsidRDefault="00D35ADD" w:rsidP="00D35098">
      <w:pPr>
        <w:pStyle w:val="ListParagraph"/>
        <w:numPr>
          <w:ilvl w:val="0"/>
          <w:numId w:val="12"/>
        </w:numPr>
        <w:ind w:left="426"/>
        <w:jc w:val="both"/>
      </w:pPr>
      <w:r w:rsidRPr="00CB687E">
        <w:t>Began work this year on a Resource Development Plan which included identification of potential diversified and expanded future revenue and funding sources. It is expected that this Plan will be finalized in 2025</w:t>
      </w:r>
      <w:r w:rsidR="003A7519" w:rsidRPr="003A7519">
        <w:t>–</w:t>
      </w:r>
      <w:r w:rsidRPr="00CB687E">
        <w:t xml:space="preserve">2026. </w:t>
      </w:r>
    </w:p>
    <w:p w14:paraId="171E0DF4" w14:textId="267138BE" w:rsidR="00D35ADD" w:rsidRPr="00CB687E" w:rsidRDefault="00D35ADD" w:rsidP="00D35098">
      <w:pPr>
        <w:pStyle w:val="ListParagraph"/>
        <w:numPr>
          <w:ilvl w:val="0"/>
          <w:numId w:val="12"/>
        </w:numPr>
        <w:ind w:left="426"/>
        <w:jc w:val="both"/>
      </w:pPr>
      <w:proofErr w:type="gramStart"/>
      <w:r w:rsidRPr="00CB687E">
        <w:t>Entered into</w:t>
      </w:r>
      <w:proofErr w:type="gramEnd"/>
      <w:r w:rsidRPr="00CB687E">
        <w:t xml:space="preserve"> new partnership with CLEO through LFO grant funding to develop “Guided Pathways” tool to </w:t>
      </w:r>
      <w:r w:rsidR="00842A55" w:rsidRPr="00CB687E">
        <w:t>assist Ontarians in preparing and filing their applications at the Human Rights Tribunal of Ontario</w:t>
      </w:r>
      <w:r w:rsidRPr="00CB687E">
        <w:t xml:space="preserve">. </w:t>
      </w:r>
    </w:p>
    <w:p w14:paraId="770A05A8" w14:textId="77777777" w:rsidR="00D35ADD" w:rsidRPr="00CB687E" w:rsidRDefault="00D35ADD" w:rsidP="00D35098">
      <w:pPr>
        <w:pStyle w:val="ListParagraph"/>
        <w:numPr>
          <w:ilvl w:val="0"/>
          <w:numId w:val="12"/>
        </w:numPr>
        <w:ind w:left="426"/>
        <w:jc w:val="both"/>
      </w:pPr>
      <w:proofErr w:type="gramStart"/>
      <w:r w:rsidRPr="00CB687E">
        <w:t>Entered into</w:t>
      </w:r>
      <w:proofErr w:type="gramEnd"/>
      <w:r w:rsidRPr="00CB687E">
        <w:t xml:space="preserve"> new partnership with Osgoode Hall Law School through LFO grant funding to develop Mediation, Early Resolution &amp; Experiential Learning Training (MEET) program to assist and support clients with mediations at the HRTO. Program will bring 12 new Osgoode Hall Law students to support HRLSC mediation and early intervention capacity over the next two years. </w:t>
      </w:r>
    </w:p>
    <w:p w14:paraId="5687EAD3" w14:textId="7B5C61A0" w:rsidR="00D35ADD" w:rsidRPr="00CB687E" w:rsidRDefault="00D35ADD" w:rsidP="00D35098">
      <w:pPr>
        <w:pStyle w:val="ListParagraph"/>
        <w:numPr>
          <w:ilvl w:val="0"/>
          <w:numId w:val="12"/>
        </w:numPr>
        <w:spacing w:after="0"/>
        <w:ind w:left="426"/>
        <w:contextualSpacing w:val="0"/>
        <w:jc w:val="both"/>
      </w:pPr>
      <w:r w:rsidRPr="00CB687E">
        <w:rPr>
          <w:rFonts w:ascii="Arial" w:hAnsi="Arial" w:cs="Arial"/>
        </w:rPr>
        <w:t>Complied with applicable direction related to accounting practices and supply chain centralization and remained responsive to Supply Ontario requirements during the 2024</w:t>
      </w:r>
      <w:r w:rsidR="009B65A0" w:rsidRPr="009B65A0">
        <w:rPr>
          <w:rFonts w:ascii="Arial" w:hAnsi="Arial" w:cs="Arial"/>
        </w:rPr>
        <w:t>–</w:t>
      </w:r>
      <w:r w:rsidRPr="00CB687E">
        <w:rPr>
          <w:rFonts w:ascii="Arial" w:hAnsi="Arial" w:cs="Arial"/>
        </w:rPr>
        <w:t>2025 fiscal period.</w:t>
      </w:r>
    </w:p>
    <w:p w14:paraId="374896F7" w14:textId="77777777" w:rsidR="00D35ADD" w:rsidRPr="00CB687E" w:rsidRDefault="00D35ADD" w:rsidP="00D35098">
      <w:pPr>
        <w:pStyle w:val="ListParagraph"/>
        <w:numPr>
          <w:ilvl w:val="0"/>
          <w:numId w:val="12"/>
        </w:numPr>
        <w:spacing w:after="0"/>
        <w:ind w:left="426"/>
        <w:contextualSpacing w:val="0"/>
        <w:jc w:val="both"/>
      </w:pPr>
      <w:r w:rsidRPr="00CB687E">
        <w:t>Adopted a new Compensation Philosophy reaffirming the HRLSC’s commitment to fairness, equity, and long-term sustainability.</w:t>
      </w:r>
    </w:p>
    <w:p w14:paraId="76D4544C" w14:textId="77777777" w:rsidR="00D35ADD" w:rsidRPr="00CB687E" w:rsidRDefault="00D35ADD" w:rsidP="00D35ADD">
      <w:pPr>
        <w:pStyle w:val="ListParagraph"/>
        <w:jc w:val="both"/>
      </w:pPr>
    </w:p>
    <w:p w14:paraId="4AB2EE41" w14:textId="77777777" w:rsidR="00D35ADD" w:rsidRPr="00CB687E" w:rsidRDefault="00D35ADD" w:rsidP="00D35ADD">
      <w:pPr>
        <w:pStyle w:val="Heading3"/>
      </w:pPr>
      <w:bookmarkStart w:id="122" w:name="_Toc201323053"/>
      <w:bookmarkStart w:id="123" w:name="_Toc204090308"/>
      <w:r w:rsidRPr="00CB687E">
        <w:lastRenderedPageBreak/>
        <w:t xml:space="preserve">6.2 </w:t>
      </w:r>
      <w:bookmarkEnd w:id="122"/>
      <w:r w:rsidRPr="00CB687E">
        <w:t>Transparency and Accountability</w:t>
      </w:r>
      <w:bookmarkEnd w:id="123"/>
    </w:p>
    <w:p w14:paraId="4D6B1D30" w14:textId="77777777" w:rsidR="00D35ADD" w:rsidRPr="00CB687E" w:rsidRDefault="00D35ADD" w:rsidP="00D35ADD">
      <w:pPr>
        <w:rPr>
          <w:b/>
          <w:bCs/>
        </w:rPr>
      </w:pPr>
      <w:r w:rsidRPr="00CB687E">
        <w:rPr>
          <w:b/>
          <w:bCs/>
        </w:rPr>
        <w:t>Government priorities in this respect include:</w:t>
      </w:r>
    </w:p>
    <w:p w14:paraId="214B91A8" w14:textId="74605A7B" w:rsidR="00D35ADD" w:rsidRPr="00CB687E" w:rsidRDefault="00D35ADD" w:rsidP="00D35098">
      <w:pPr>
        <w:pStyle w:val="ListParagraph"/>
        <w:numPr>
          <w:ilvl w:val="0"/>
          <w:numId w:val="23"/>
        </w:numPr>
        <w:ind w:left="426"/>
      </w:pPr>
      <w:r w:rsidRPr="00CB687E">
        <w:t>Abiding by applicable government directives and policies and ensuring transparency and accountability in reporting.</w:t>
      </w:r>
    </w:p>
    <w:p w14:paraId="6B1F9DFD" w14:textId="48FACB25" w:rsidR="00D35ADD" w:rsidRPr="00CB687E" w:rsidRDefault="00D35ADD" w:rsidP="00D35098">
      <w:pPr>
        <w:pStyle w:val="ListParagraph"/>
        <w:numPr>
          <w:ilvl w:val="0"/>
          <w:numId w:val="23"/>
        </w:numPr>
        <w:ind w:left="426"/>
      </w:pPr>
      <w:r w:rsidRPr="00CB687E">
        <w:t>Adhering to accounting standards and practices, and responding to audit findings, where applicable.</w:t>
      </w:r>
    </w:p>
    <w:p w14:paraId="36FCE973" w14:textId="14BAD946" w:rsidR="00D35ADD" w:rsidRPr="00CB687E" w:rsidRDefault="00D35ADD" w:rsidP="00D35098">
      <w:pPr>
        <w:pStyle w:val="ListParagraph"/>
        <w:numPr>
          <w:ilvl w:val="0"/>
          <w:numId w:val="23"/>
        </w:numPr>
        <w:ind w:left="426"/>
      </w:pPr>
      <w:r w:rsidRPr="00CB687E">
        <w:t>Identifying appropriate skills, knowledge and experience needed to effectively support the board’s role in agency governance and accountability, and providing the Minister with annual skills matrices to ensure boards have qualified appointees.</w:t>
      </w:r>
    </w:p>
    <w:p w14:paraId="1F94A20B" w14:textId="02AB5235" w:rsidR="00D35ADD" w:rsidRPr="00CB687E" w:rsidRDefault="00D35ADD" w:rsidP="00D35098">
      <w:pPr>
        <w:pStyle w:val="ListParagraph"/>
        <w:numPr>
          <w:ilvl w:val="0"/>
          <w:numId w:val="23"/>
        </w:numPr>
        <w:ind w:left="426"/>
      </w:pPr>
      <w:r w:rsidRPr="00CB687E">
        <w:t>Reviewing and updating agency KPIs annually to ensure efficiency, effectiveness, and sustainability.</w:t>
      </w:r>
    </w:p>
    <w:p w14:paraId="24193B7E" w14:textId="77777777" w:rsidR="00D35ADD" w:rsidRPr="00CB687E" w:rsidRDefault="00D35ADD" w:rsidP="00D35ADD">
      <w:pPr>
        <w:pStyle w:val="ListParagraph"/>
        <w:autoSpaceDE w:val="0"/>
        <w:autoSpaceDN w:val="0"/>
        <w:spacing w:after="0" w:line="240" w:lineRule="auto"/>
        <w:rPr>
          <w:rFonts w:ascii="Times New Roman" w:hAnsi="Times New Roman" w:cs="Times New Roman"/>
        </w:rPr>
      </w:pPr>
    </w:p>
    <w:p w14:paraId="770C0CCA" w14:textId="77777777" w:rsidR="00D35ADD" w:rsidRPr="00CB687E" w:rsidRDefault="00D35ADD" w:rsidP="00D35ADD">
      <w:pPr>
        <w:jc w:val="both"/>
        <w:rPr>
          <w:b/>
          <w:bCs/>
        </w:rPr>
      </w:pPr>
      <w:r w:rsidRPr="00CB687E">
        <w:rPr>
          <w:b/>
          <w:bCs/>
        </w:rPr>
        <w:t>Notable Achievements:</w:t>
      </w:r>
    </w:p>
    <w:p w14:paraId="24538E2E" w14:textId="2BF24280" w:rsidR="00D35ADD" w:rsidRPr="00CB687E" w:rsidRDefault="00D35ADD" w:rsidP="00D35098">
      <w:pPr>
        <w:pStyle w:val="ListParagraph"/>
        <w:numPr>
          <w:ilvl w:val="0"/>
          <w:numId w:val="25"/>
        </w:numPr>
        <w:spacing w:after="0"/>
        <w:ind w:left="426"/>
        <w:contextualSpacing w:val="0"/>
        <w:jc w:val="both"/>
      </w:pPr>
      <w:r w:rsidRPr="00CB687E">
        <w:t>Ensured public accountability and transparency, complying with government directives and policies, including by developing a three-year (2025</w:t>
      </w:r>
      <w:r w:rsidR="00C96A4C" w:rsidRPr="00C96A4C">
        <w:t>–</w:t>
      </w:r>
      <w:r w:rsidRPr="00CB687E">
        <w:t>2028) Operational Business Plan, (2024</w:t>
      </w:r>
      <w:r w:rsidR="00C96A4C" w:rsidRPr="00C96A4C">
        <w:t>–</w:t>
      </w:r>
      <w:r w:rsidRPr="00CB687E">
        <w:t xml:space="preserve">2025) Annual Report, and independent Financial Audit for government review and approval for public posting. </w:t>
      </w:r>
    </w:p>
    <w:p w14:paraId="34824AA9" w14:textId="557CA427" w:rsidR="00D35ADD" w:rsidRPr="00CB687E" w:rsidRDefault="00D35ADD" w:rsidP="00D35098">
      <w:pPr>
        <w:pStyle w:val="ListParagraph"/>
        <w:numPr>
          <w:ilvl w:val="0"/>
          <w:numId w:val="25"/>
        </w:numPr>
        <w:spacing w:after="0"/>
        <w:ind w:left="426"/>
        <w:contextualSpacing w:val="0"/>
        <w:jc w:val="both"/>
      </w:pPr>
      <w:r w:rsidRPr="00CB687E">
        <w:t>Significantly enhanced HRLSC data collection, analysis and public reporting in 2024</w:t>
      </w:r>
      <w:r w:rsidR="009B65A0" w:rsidRPr="009B65A0">
        <w:t>–</w:t>
      </w:r>
      <w:r w:rsidRPr="00CB687E">
        <w:t>2025 fiscal year, including through publication of 10-year analysis of HRLSC legal services, as profiled in HRLSC’s 2023</w:t>
      </w:r>
      <w:r w:rsidR="00C96A4C" w:rsidRPr="00C96A4C">
        <w:t>–</w:t>
      </w:r>
      <w:r w:rsidRPr="00CB687E">
        <w:t>2024 Annual Report.</w:t>
      </w:r>
    </w:p>
    <w:p w14:paraId="057707F8" w14:textId="77777777" w:rsidR="00D35ADD" w:rsidRPr="00CB687E" w:rsidRDefault="00D35ADD" w:rsidP="00D35098">
      <w:pPr>
        <w:pStyle w:val="ListParagraph"/>
        <w:numPr>
          <w:ilvl w:val="0"/>
          <w:numId w:val="25"/>
        </w:numPr>
        <w:spacing w:after="0"/>
        <w:ind w:left="426"/>
        <w:contextualSpacing w:val="0"/>
        <w:jc w:val="both"/>
      </w:pPr>
      <w:r w:rsidRPr="00CB687E">
        <w:t>Maintained relevant accounting standards and practices through retention of relevant staff and procurement of auditors.</w:t>
      </w:r>
    </w:p>
    <w:p w14:paraId="42796F03" w14:textId="77777777" w:rsidR="00D35ADD" w:rsidRPr="00CB687E" w:rsidRDefault="00D35ADD" w:rsidP="00D35098">
      <w:pPr>
        <w:pStyle w:val="ListParagraph"/>
        <w:numPr>
          <w:ilvl w:val="0"/>
          <w:numId w:val="25"/>
        </w:numPr>
        <w:spacing w:after="0"/>
        <w:ind w:left="426"/>
        <w:contextualSpacing w:val="0"/>
        <w:jc w:val="both"/>
      </w:pPr>
      <w:r w:rsidRPr="00CB687E">
        <w:t>Updated annual skills matrix to ensure the board has and recruits qualified appointees with appropriate skills, knowledge and experience to effectively advance HRLSC’s mandate and support board governance and accountability</w:t>
      </w:r>
    </w:p>
    <w:p w14:paraId="47A4AF97" w14:textId="4ECBAD13" w:rsidR="00D35ADD" w:rsidRPr="00CB687E" w:rsidRDefault="00D35ADD" w:rsidP="00D35098">
      <w:pPr>
        <w:pStyle w:val="ListParagraph"/>
        <w:numPr>
          <w:ilvl w:val="0"/>
          <w:numId w:val="25"/>
        </w:numPr>
        <w:spacing w:after="0"/>
        <w:ind w:left="426"/>
        <w:contextualSpacing w:val="0"/>
        <w:jc w:val="both"/>
      </w:pPr>
      <w:r w:rsidRPr="00CB687E">
        <w:t>The HRLSC’s Board again received a yearly orientation as well as new training on governance principles, as informed the Board’s formal review of Board governance policies in 2024</w:t>
      </w:r>
      <w:r w:rsidR="00262658" w:rsidRPr="00262658">
        <w:t>–</w:t>
      </w:r>
      <w:r w:rsidRPr="00CB687E">
        <w:t>2025, to identify areas for further development and updating.</w:t>
      </w:r>
    </w:p>
    <w:p w14:paraId="13F1041B" w14:textId="77777777" w:rsidR="00D35ADD" w:rsidRPr="00CB687E" w:rsidRDefault="00D35ADD" w:rsidP="00D35ADD">
      <w:pPr>
        <w:pStyle w:val="Heading3"/>
      </w:pPr>
      <w:bookmarkStart w:id="124" w:name="_Toc204090309"/>
      <w:r w:rsidRPr="00CB687E">
        <w:t>6.3 Risk Management</w:t>
      </w:r>
      <w:bookmarkEnd w:id="124"/>
    </w:p>
    <w:p w14:paraId="203747E4" w14:textId="77777777" w:rsidR="00D35ADD" w:rsidRPr="00CB687E" w:rsidRDefault="00D35ADD" w:rsidP="00D35ADD">
      <w:pPr>
        <w:rPr>
          <w:b/>
          <w:bCs/>
        </w:rPr>
      </w:pPr>
      <w:r w:rsidRPr="00CB687E">
        <w:rPr>
          <w:b/>
          <w:bCs/>
        </w:rPr>
        <w:t>Government priorities in this respect include:</w:t>
      </w:r>
    </w:p>
    <w:p w14:paraId="03CDC5A1" w14:textId="2ED928DF" w:rsidR="00133C03" w:rsidRDefault="00D35ADD" w:rsidP="00D35098">
      <w:pPr>
        <w:pStyle w:val="ListParagraph"/>
        <w:numPr>
          <w:ilvl w:val="0"/>
          <w:numId w:val="22"/>
        </w:numPr>
        <w:ind w:left="426"/>
      </w:pPr>
      <w:r w:rsidRPr="00CB687E">
        <w:t>Developing and implementing an effective process for the identification, assessment and mitigation of agency risks, including cyber security, and any future emergency risks.</w:t>
      </w:r>
    </w:p>
    <w:p w14:paraId="5C01C2E2" w14:textId="77777777" w:rsidR="00133C03" w:rsidRDefault="00133C03">
      <w:r>
        <w:br w:type="page"/>
      </w:r>
    </w:p>
    <w:p w14:paraId="08237620" w14:textId="77777777" w:rsidR="00D35ADD" w:rsidRPr="00CB687E" w:rsidRDefault="00D35ADD" w:rsidP="00D35ADD">
      <w:pPr>
        <w:jc w:val="both"/>
        <w:rPr>
          <w:b/>
          <w:bCs/>
        </w:rPr>
      </w:pPr>
      <w:r w:rsidRPr="00CB687E">
        <w:rPr>
          <w:b/>
          <w:bCs/>
        </w:rPr>
        <w:lastRenderedPageBreak/>
        <w:t>Notable Achievements:</w:t>
      </w:r>
    </w:p>
    <w:p w14:paraId="53776BC9" w14:textId="55A3684B" w:rsidR="00D35ADD" w:rsidRPr="00CB687E" w:rsidRDefault="00D35ADD" w:rsidP="00D35098">
      <w:pPr>
        <w:pStyle w:val="ListParagraph"/>
        <w:numPr>
          <w:ilvl w:val="0"/>
          <w:numId w:val="22"/>
        </w:numPr>
        <w:ind w:left="426"/>
      </w:pPr>
      <w:r w:rsidRPr="00CB687E">
        <w:t xml:space="preserve">Continued to proactively manage and mitigate risks to the organization, including through the preparation and review of quarterly risk management plans. The HRLSC’s staff furthermore attended </w:t>
      </w:r>
      <w:r w:rsidR="00894305">
        <w:t xml:space="preserve">Ontario </w:t>
      </w:r>
      <w:r w:rsidRPr="00CB687E">
        <w:t>P</w:t>
      </w:r>
      <w:r w:rsidR="00894305">
        <w:t xml:space="preserve">ublic </w:t>
      </w:r>
      <w:r w:rsidRPr="00CB687E">
        <w:t>S</w:t>
      </w:r>
      <w:r w:rsidR="00894305">
        <w:t>ervice (OPS)</w:t>
      </w:r>
      <w:r w:rsidRPr="00CB687E">
        <w:t xml:space="preserve"> risk management training this past fiscal year to continue to build competency in this area. </w:t>
      </w:r>
    </w:p>
    <w:p w14:paraId="276EE6C5" w14:textId="77777777" w:rsidR="00D35ADD" w:rsidRPr="00CB687E" w:rsidRDefault="00D35ADD" w:rsidP="00D35098">
      <w:pPr>
        <w:pStyle w:val="ListParagraph"/>
        <w:numPr>
          <w:ilvl w:val="0"/>
          <w:numId w:val="22"/>
        </w:numPr>
        <w:ind w:left="426"/>
      </w:pPr>
      <w:r w:rsidRPr="00CB687E">
        <w:t>The HRLSC’s Board again received a yearly orientation as well as training on risk management.</w:t>
      </w:r>
    </w:p>
    <w:p w14:paraId="6497EADB" w14:textId="76BB824C" w:rsidR="00D35ADD" w:rsidRPr="00CB687E" w:rsidRDefault="00D35ADD" w:rsidP="00D35098">
      <w:pPr>
        <w:pStyle w:val="ListParagraph"/>
        <w:numPr>
          <w:ilvl w:val="0"/>
          <w:numId w:val="22"/>
        </w:numPr>
        <w:ind w:left="426"/>
      </w:pPr>
      <w:r w:rsidRPr="00CB687E">
        <w:t>In accordance with the 2020 TBS audit, the HRLSC continued to work with MAG’s Justice Technology Services and Information Technology Services (JTS) to migrate the HRLSC IT services to the OPS network to take advantage of shared infrastructure. HRLSC and JTS have successfully completed the IT assessment, marking the first phase of the JTS onboarding process. Assuming MAG approval and coverage of associate</w:t>
      </w:r>
      <w:r w:rsidR="00F043EC" w:rsidRPr="00CB687E">
        <w:t>d</w:t>
      </w:r>
      <w:r w:rsidRPr="00CB687E">
        <w:t xml:space="preserve"> costs, HRLSC is estimated to be fully on-boarded onto the JTS Network by April/May 2026.</w:t>
      </w:r>
    </w:p>
    <w:p w14:paraId="3319C4DA" w14:textId="77777777" w:rsidR="00D35ADD" w:rsidRPr="00CB687E" w:rsidRDefault="00D35ADD" w:rsidP="00D35098">
      <w:pPr>
        <w:pStyle w:val="ListParagraph"/>
        <w:numPr>
          <w:ilvl w:val="0"/>
          <w:numId w:val="22"/>
        </w:numPr>
        <w:ind w:left="426"/>
      </w:pPr>
      <w:r w:rsidRPr="00CB687E">
        <w:t>Hired an external IT security consultant to help further advise and ensure protection and security of individual and organizational data and cybersecurity.</w:t>
      </w:r>
    </w:p>
    <w:p w14:paraId="7EA1AB3E" w14:textId="230DECC4" w:rsidR="00D35ADD" w:rsidRPr="00CB687E" w:rsidRDefault="00D35ADD" w:rsidP="00D35098">
      <w:pPr>
        <w:pStyle w:val="ListParagraph"/>
        <w:numPr>
          <w:ilvl w:val="0"/>
          <w:numId w:val="22"/>
        </w:numPr>
        <w:ind w:left="426"/>
      </w:pPr>
      <w:r w:rsidRPr="00CB687E">
        <w:t xml:space="preserve">Developed a new IT strategy and IT policy, which includes new cybersecurity measures and direction on use of </w:t>
      </w:r>
      <w:r w:rsidR="00FB0228">
        <w:t xml:space="preserve">artificial intelligence </w:t>
      </w:r>
      <w:r w:rsidRPr="00CB687E">
        <w:t>through a new dedicated AI policy requiring reporting of uses of AI.</w:t>
      </w:r>
    </w:p>
    <w:p w14:paraId="1B3377BD" w14:textId="77777777" w:rsidR="00D35ADD" w:rsidRPr="00CB687E" w:rsidRDefault="00D35ADD" w:rsidP="00D35098">
      <w:pPr>
        <w:pStyle w:val="ListParagraph"/>
        <w:numPr>
          <w:ilvl w:val="0"/>
          <w:numId w:val="22"/>
        </w:numPr>
        <w:ind w:left="426"/>
      </w:pPr>
      <w:r w:rsidRPr="00CB687E">
        <w:t>The HRLSC is now implementing mandatory cybersecurity training for staff.</w:t>
      </w:r>
    </w:p>
    <w:p w14:paraId="377BFB36" w14:textId="77777777" w:rsidR="00D35ADD" w:rsidRPr="00CB687E" w:rsidRDefault="00D35ADD" w:rsidP="00D35ADD">
      <w:pPr>
        <w:pStyle w:val="ListParagraph"/>
      </w:pPr>
    </w:p>
    <w:p w14:paraId="2A6105EF" w14:textId="77777777" w:rsidR="00D35ADD" w:rsidRPr="00CB687E" w:rsidRDefault="00D35ADD" w:rsidP="00D35ADD">
      <w:pPr>
        <w:pStyle w:val="Heading3"/>
      </w:pPr>
      <w:bookmarkStart w:id="125" w:name="_Toc204090310"/>
      <w:r w:rsidRPr="00CB687E">
        <w:t>6.4 Workforce/Labour Management</w:t>
      </w:r>
      <w:bookmarkEnd w:id="125"/>
    </w:p>
    <w:p w14:paraId="672D67F4" w14:textId="77777777" w:rsidR="00D35ADD" w:rsidRPr="00CB687E" w:rsidRDefault="00D35ADD" w:rsidP="00D35ADD">
      <w:pPr>
        <w:rPr>
          <w:b/>
          <w:bCs/>
        </w:rPr>
      </w:pPr>
      <w:r w:rsidRPr="00CB687E">
        <w:rPr>
          <w:b/>
          <w:bCs/>
        </w:rPr>
        <w:t>Government priorities in this respect include:</w:t>
      </w:r>
    </w:p>
    <w:p w14:paraId="53F9FC71" w14:textId="77777777" w:rsidR="00D35ADD" w:rsidRPr="00CB687E" w:rsidRDefault="00D35ADD" w:rsidP="00D35098">
      <w:pPr>
        <w:pStyle w:val="ListParagraph"/>
        <w:numPr>
          <w:ilvl w:val="0"/>
          <w:numId w:val="24"/>
        </w:numPr>
      </w:pPr>
      <w:r w:rsidRPr="00CB687E">
        <w:t>Optimizing your organizational capacity to support the best possible public service delivery, including redeploying resources to priority areas, where needed.</w:t>
      </w:r>
    </w:p>
    <w:p w14:paraId="38565E1B" w14:textId="77777777" w:rsidR="00D35ADD" w:rsidRPr="00CB687E" w:rsidRDefault="00D35ADD" w:rsidP="00D35098">
      <w:pPr>
        <w:pStyle w:val="ListParagraph"/>
        <w:numPr>
          <w:ilvl w:val="0"/>
          <w:numId w:val="24"/>
        </w:numPr>
      </w:pPr>
      <w:r w:rsidRPr="00CB687E">
        <w:t>Ensure that organizational decisions and resource planning regarding labour relations, office management and human resource policies are strategically aligned with broader relevant government priorities, legislation, and directives.</w:t>
      </w:r>
    </w:p>
    <w:p w14:paraId="64651097" w14:textId="77777777" w:rsidR="00D35ADD" w:rsidRPr="00CB687E" w:rsidRDefault="00D35ADD" w:rsidP="00D35098">
      <w:pPr>
        <w:pStyle w:val="ListParagraph"/>
        <w:numPr>
          <w:ilvl w:val="0"/>
          <w:numId w:val="24"/>
        </w:numPr>
      </w:pPr>
      <w:r w:rsidRPr="00CB687E">
        <w:t>Prudently and efficiently managing operational funding and workforce size.</w:t>
      </w:r>
    </w:p>
    <w:p w14:paraId="143A6872" w14:textId="77777777" w:rsidR="00D35ADD" w:rsidRPr="00CB687E" w:rsidRDefault="00D35ADD" w:rsidP="00D35ADD">
      <w:pPr>
        <w:jc w:val="both"/>
        <w:rPr>
          <w:b/>
          <w:bCs/>
        </w:rPr>
      </w:pPr>
      <w:r w:rsidRPr="00CB687E">
        <w:rPr>
          <w:b/>
          <w:bCs/>
        </w:rPr>
        <w:t>Notable Achievements:</w:t>
      </w:r>
    </w:p>
    <w:p w14:paraId="1FC58CFF" w14:textId="77777777" w:rsidR="00D35ADD" w:rsidRPr="00CB687E" w:rsidRDefault="00D35ADD" w:rsidP="00D35098">
      <w:pPr>
        <w:pStyle w:val="ListParagraph"/>
        <w:numPr>
          <w:ilvl w:val="0"/>
          <w:numId w:val="26"/>
        </w:numPr>
        <w:jc w:val="both"/>
      </w:pPr>
      <w:r w:rsidRPr="00CB687E">
        <w:t xml:space="preserve">Identified priority areas for services and staffing through the stakeholder-informed Strategic Plan development process this past year, which transparently informed resource deployment decisions. </w:t>
      </w:r>
    </w:p>
    <w:p w14:paraId="78BED339" w14:textId="77777777" w:rsidR="00D35ADD" w:rsidRPr="00CB687E" w:rsidRDefault="00D35ADD" w:rsidP="00D35098">
      <w:pPr>
        <w:pStyle w:val="ListParagraph"/>
        <w:numPr>
          <w:ilvl w:val="0"/>
          <w:numId w:val="26"/>
        </w:numPr>
      </w:pPr>
      <w:r w:rsidRPr="00CB687E">
        <w:lastRenderedPageBreak/>
        <w:t xml:space="preserve">Optimized public service delivery through acquisition of new LFO responsive grant funding for new paralegal service position and through partnerships with CLEO and Osgoode Hall to expand legal service capacity (see subsection 3.2.6). </w:t>
      </w:r>
    </w:p>
    <w:p w14:paraId="4BBA2193" w14:textId="77777777" w:rsidR="00D35ADD" w:rsidRPr="00CB687E" w:rsidRDefault="00D35ADD" w:rsidP="00D35098">
      <w:pPr>
        <w:pStyle w:val="ListParagraph"/>
        <w:numPr>
          <w:ilvl w:val="0"/>
          <w:numId w:val="26"/>
        </w:numPr>
        <w:jc w:val="both"/>
      </w:pPr>
      <w:r w:rsidRPr="00CB687E">
        <w:t>Continued to maintain and follow its human capital and financial plan, prudently, in accordance with resources and strategic priorities.</w:t>
      </w:r>
    </w:p>
    <w:p w14:paraId="3EA6E596" w14:textId="77777777" w:rsidR="00D35ADD" w:rsidRPr="00CB687E" w:rsidRDefault="00D35ADD" w:rsidP="00D35098">
      <w:pPr>
        <w:pStyle w:val="ListParagraph"/>
        <w:numPr>
          <w:ilvl w:val="0"/>
          <w:numId w:val="26"/>
        </w:numPr>
        <w:jc w:val="both"/>
      </w:pPr>
      <w:r w:rsidRPr="00CB687E">
        <w:t>Adopted a new Compensation Philosophy reaffirming the HRLSC’s commitment to fairness, equity, and long-term sustainability.</w:t>
      </w:r>
    </w:p>
    <w:p w14:paraId="23C27586" w14:textId="77777777" w:rsidR="00D35ADD" w:rsidRPr="00CB687E" w:rsidRDefault="00D35ADD" w:rsidP="00D35098">
      <w:pPr>
        <w:pStyle w:val="ListParagraph"/>
        <w:numPr>
          <w:ilvl w:val="0"/>
          <w:numId w:val="26"/>
        </w:numPr>
        <w:jc w:val="both"/>
      </w:pPr>
      <w:r w:rsidRPr="00CB687E">
        <w:t xml:space="preserve">Prudently managed operational funding and workforce size including through attrition and vacancies, in context of strained current and uncertain future funding and resources. </w:t>
      </w:r>
    </w:p>
    <w:p w14:paraId="76235AD6" w14:textId="77777777" w:rsidR="00D35ADD" w:rsidRPr="00CB687E" w:rsidRDefault="00D35ADD" w:rsidP="00D35ADD">
      <w:pPr>
        <w:pStyle w:val="Heading3"/>
      </w:pPr>
      <w:bookmarkStart w:id="126" w:name="_Toc204090311"/>
      <w:r w:rsidRPr="00CB687E">
        <w:t>6.5 Diversity and Inclusion</w:t>
      </w:r>
      <w:bookmarkEnd w:id="126"/>
    </w:p>
    <w:p w14:paraId="4560B6AF" w14:textId="77777777" w:rsidR="00D35ADD" w:rsidRPr="00CB687E" w:rsidRDefault="00D35ADD" w:rsidP="00D35ADD">
      <w:pPr>
        <w:rPr>
          <w:b/>
          <w:bCs/>
        </w:rPr>
      </w:pPr>
      <w:r w:rsidRPr="00CB687E">
        <w:rPr>
          <w:b/>
          <w:bCs/>
        </w:rPr>
        <w:t>Government priorities in this respect include:</w:t>
      </w:r>
    </w:p>
    <w:p w14:paraId="2A4D23A1" w14:textId="77777777" w:rsidR="00D35ADD" w:rsidRPr="00CB687E" w:rsidRDefault="00D35ADD" w:rsidP="00D35098">
      <w:pPr>
        <w:pStyle w:val="ListParagraph"/>
        <w:numPr>
          <w:ilvl w:val="0"/>
          <w:numId w:val="21"/>
        </w:numPr>
      </w:pPr>
      <w:r w:rsidRPr="00CB687E">
        <w:t>Developing and encouraging diversity and inclusion initiatives by promoting an equitable, inclusive, accessible, anti-racist and diverse workplace.</w:t>
      </w:r>
    </w:p>
    <w:p w14:paraId="6C5C98F9" w14:textId="77777777" w:rsidR="00D35ADD" w:rsidRPr="00CB687E" w:rsidRDefault="00D35ADD" w:rsidP="00D35098">
      <w:pPr>
        <w:pStyle w:val="ListParagraph"/>
        <w:numPr>
          <w:ilvl w:val="0"/>
          <w:numId w:val="21"/>
        </w:numPr>
      </w:pPr>
      <w:r w:rsidRPr="00CB687E">
        <w:t>Adopting an inclusion engagement process to ensure all voices are heard to inform policies and decision-making.</w:t>
      </w:r>
    </w:p>
    <w:p w14:paraId="37657F38" w14:textId="77777777" w:rsidR="00D35ADD" w:rsidRPr="00CB687E" w:rsidRDefault="00D35ADD" w:rsidP="00D35ADD">
      <w:pPr>
        <w:jc w:val="both"/>
        <w:rPr>
          <w:b/>
          <w:bCs/>
        </w:rPr>
      </w:pPr>
      <w:r w:rsidRPr="00CB687E">
        <w:rPr>
          <w:b/>
          <w:bCs/>
        </w:rPr>
        <w:t>Notable Achievements:</w:t>
      </w:r>
    </w:p>
    <w:p w14:paraId="4BCE5D70" w14:textId="77777777" w:rsidR="00D35ADD" w:rsidRPr="00CB687E" w:rsidRDefault="00D35ADD" w:rsidP="00D35098">
      <w:pPr>
        <w:pStyle w:val="ListParagraph"/>
        <w:numPr>
          <w:ilvl w:val="0"/>
          <w:numId w:val="11"/>
        </w:numPr>
        <w:jc w:val="both"/>
      </w:pPr>
      <w:r w:rsidRPr="00CB687E">
        <w:t>Continued providing accessible, multi-language services for clients, and to ensure it had Indigenous and Francophone staff at every level of service to support capacity to provide culturally competent services including to clients requiring linguistic and cultural accommodations.</w:t>
      </w:r>
    </w:p>
    <w:p w14:paraId="46E36036" w14:textId="77777777" w:rsidR="00D35ADD" w:rsidRPr="00CB687E" w:rsidRDefault="00D35ADD" w:rsidP="00D35098">
      <w:pPr>
        <w:pStyle w:val="ListParagraph"/>
        <w:numPr>
          <w:ilvl w:val="0"/>
          <w:numId w:val="11"/>
        </w:numPr>
        <w:spacing w:after="0"/>
        <w:contextualSpacing w:val="0"/>
        <w:jc w:val="both"/>
        <w:rPr>
          <w:rFonts w:ascii="Arial" w:hAnsi="Arial" w:cs="Arial"/>
        </w:rPr>
      </w:pPr>
      <w:r w:rsidRPr="00CB687E">
        <w:t>Provided ongoing professional development for staff and its Board in accordance with its commitment to advance equity, diversity, inclusion, and social justice. Provided staff trainings on:</w:t>
      </w:r>
    </w:p>
    <w:p w14:paraId="1BEEDF3F" w14:textId="77777777" w:rsidR="00D35ADD" w:rsidRPr="00CB687E" w:rsidRDefault="00D35ADD" w:rsidP="00D35098">
      <w:pPr>
        <w:pStyle w:val="ListParagraph"/>
        <w:numPr>
          <w:ilvl w:val="0"/>
          <w:numId w:val="30"/>
        </w:numPr>
      </w:pPr>
      <w:r w:rsidRPr="00CB687E">
        <w:t xml:space="preserve">The Path Indigenous cultural awareness training; </w:t>
      </w:r>
    </w:p>
    <w:p w14:paraId="4AD3BAA9" w14:textId="2A454C42" w:rsidR="00690A53" w:rsidRPr="00CB687E" w:rsidRDefault="00D35ADD" w:rsidP="00D35098">
      <w:pPr>
        <w:pStyle w:val="ListParagraph"/>
        <w:numPr>
          <w:ilvl w:val="0"/>
          <w:numId w:val="30"/>
        </w:numPr>
      </w:pPr>
      <w:r w:rsidRPr="00CB687E">
        <w:t xml:space="preserve">Ontario </w:t>
      </w:r>
      <w:r w:rsidRPr="00CB687E">
        <w:rPr>
          <w:i/>
          <w:iCs/>
        </w:rPr>
        <w:t>Human Rights Code</w:t>
      </w:r>
      <w:r w:rsidRPr="00CB687E">
        <w:t xml:space="preserve"> and the </w:t>
      </w:r>
      <w:r w:rsidRPr="00CB687E">
        <w:rPr>
          <w:i/>
          <w:iCs/>
        </w:rPr>
        <w:t>Accessibility for Ontarians with Disabilities Act</w:t>
      </w:r>
      <w:r w:rsidRPr="00CB687E">
        <w:t xml:space="preserve">; and </w:t>
      </w:r>
      <w:r w:rsidRPr="00B74A3D">
        <w:rPr>
          <w:i/>
        </w:rPr>
        <w:t>Occupational Health and Safety Act</w:t>
      </w:r>
      <w:r w:rsidRPr="00CB687E">
        <w:t xml:space="preserve"> – Worker health and safety awareness</w:t>
      </w:r>
      <w:r w:rsidR="00690A53" w:rsidRPr="00CB687E">
        <w:t>;</w:t>
      </w:r>
    </w:p>
    <w:p w14:paraId="58630EF7" w14:textId="3F8B3733" w:rsidR="00690A53" w:rsidRPr="00CB687E" w:rsidRDefault="00690A53" w:rsidP="00D35098">
      <w:pPr>
        <w:pStyle w:val="ListParagraph"/>
        <w:numPr>
          <w:ilvl w:val="0"/>
          <w:numId w:val="30"/>
        </w:numPr>
      </w:pPr>
      <w:r w:rsidRPr="00CB687E">
        <w:t>LivingWorks START Suicide Prevention E-Learning Course.</w:t>
      </w:r>
    </w:p>
    <w:p w14:paraId="66E17E9E" w14:textId="77777777" w:rsidR="00D35ADD" w:rsidRPr="00CB687E" w:rsidRDefault="00D35ADD" w:rsidP="00D35098">
      <w:pPr>
        <w:pStyle w:val="ListParagraph"/>
        <w:numPr>
          <w:ilvl w:val="0"/>
          <w:numId w:val="30"/>
        </w:numPr>
      </w:pPr>
      <w:r w:rsidRPr="00CB687E">
        <w:t xml:space="preserve">Director of Public Interest and Legal Initiatives at the 519 conducted an online workshop with Legal Staff on their new </w:t>
      </w:r>
      <w:hyperlink r:id="rId74" w:history="1">
        <w:r w:rsidRPr="00CB687E">
          <w:rPr>
            <w:rStyle w:val="Hyperlink"/>
          </w:rPr>
          <w:t>519 Legal Advice Clinic</w:t>
        </w:r>
      </w:hyperlink>
      <w:r w:rsidRPr="00CB687E">
        <w:t xml:space="preserve"> services, including issues facing the 2SLGBTQIA+ community, and tips for making inclusive adjudicative spaces.</w:t>
      </w:r>
    </w:p>
    <w:p w14:paraId="73C36031" w14:textId="77777777" w:rsidR="00D35ADD" w:rsidRPr="00CB687E" w:rsidRDefault="00D35ADD" w:rsidP="00D35ADD">
      <w:pPr>
        <w:pStyle w:val="Heading3"/>
      </w:pPr>
      <w:bookmarkStart w:id="127" w:name="_Toc204090312"/>
      <w:r w:rsidRPr="00CB687E">
        <w:lastRenderedPageBreak/>
        <w:t>6.6 Data Collection, Sharing and Use</w:t>
      </w:r>
      <w:bookmarkEnd w:id="127"/>
    </w:p>
    <w:p w14:paraId="294E2E1D" w14:textId="77777777" w:rsidR="00D35ADD" w:rsidRPr="00CB687E" w:rsidRDefault="00D35ADD" w:rsidP="00D35ADD">
      <w:pPr>
        <w:spacing w:after="0"/>
        <w:rPr>
          <w:b/>
          <w:bCs/>
        </w:rPr>
      </w:pPr>
      <w:r w:rsidRPr="00CB687E">
        <w:rPr>
          <w:b/>
          <w:bCs/>
        </w:rPr>
        <w:t>Government priorities in this respect include:</w:t>
      </w:r>
    </w:p>
    <w:p w14:paraId="374BE12F" w14:textId="77777777" w:rsidR="00D35ADD" w:rsidRPr="00CB687E" w:rsidRDefault="00D35ADD" w:rsidP="00D35098">
      <w:pPr>
        <w:numPr>
          <w:ilvl w:val="0"/>
          <w:numId w:val="20"/>
        </w:numPr>
        <w:spacing w:after="0"/>
        <w:jc w:val="both"/>
      </w:pPr>
      <w:r w:rsidRPr="00CB687E">
        <w:t>Improving how the agency uses data in decision-making, information sharing and reporting, to inform outcome-based reporting and improve service delivery.</w:t>
      </w:r>
    </w:p>
    <w:p w14:paraId="750A88F6" w14:textId="77777777" w:rsidR="00D35ADD" w:rsidRPr="00CB687E" w:rsidRDefault="00D35ADD" w:rsidP="00D35098">
      <w:pPr>
        <w:numPr>
          <w:ilvl w:val="0"/>
          <w:numId w:val="20"/>
        </w:numPr>
        <w:jc w:val="both"/>
      </w:pPr>
      <w:r w:rsidRPr="00CB687E">
        <w:t>Increasing data sharing with Supply Ontario when applicable regarding procurement spending and planning, contract arrangements and vendor relations to support data driven decision-making.</w:t>
      </w:r>
    </w:p>
    <w:p w14:paraId="30352ABF" w14:textId="77777777" w:rsidR="00D35ADD" w:rsidRPr="00CB687E" w:rsidRDefault="00D35ADD" w:rsidP="00D35ADD">
      <w:pPr>
        <w:jc w:val="both"/>
        <w:rPr>
          <w:b/>
          <w:bCs/>
        </w:rPr>
      </w:pPr>
      <w:r w:rsidRPr="00CB687E">
        <w:rPr>
          <w:b/>
          <w:bCs/>
        </w:rPr>
        <w:t>Notable Achievements:</w:t>
      </w:r>
    </w:p>
    <w:p w14:paraId="02B5B217" w14:textId="77777777" w:rsidR="00D35ADD" w:rsidRPr="00CB687E" w:rsidRDefault="00D35ADD" w:rsidP="00D35098">
      <w:pPr>
        <w:pStyle w:val="ListParagraph"/>
        <w:numPr>
          <w:ilvl w:val="0"/>
          <w:numId w:val="28"/>
        </w:numPr>
        <w:jc w:val="both"/>
      </w:pPr>
      <w:r w:rsidRPr="00CB687E">
        <w:t>Developed six five-year desired outcomes for its Strategic Plan including: People have improved access to services and supports; People have more service options; Clients are satisfied; Decision making is data-driven and evidence-informed; HRLSC is engaged in more strategic partnerships; HRLSC provides leadership in human rights analysis and strategy.</w:t>
      </w:r>
    </w:p>
    <w:p w14:paraId="0F7DC186" w14:textId="77777777" w:rsidR="00D35ADD" w:rsidRPr="00CB687E" w:rsidRDefault="00D35ADD" w:rsidP="00D35098">
      <w:pPr>
        <w:pStyle w:val="ListParagraph"/>
        <w:numPr>
          <w:ilvl w:val="0"/>
          <w:numId w:val="28"/>
        </w:numPr>
        <w:jc w:val="both"/>
      </w:pPr>
      <w:r w:rsidRPr="00CB687E">
        <w:t>Developed new KPIs in accordance with desired strategic plan outcomes, and updated client survey materials to expand reach to all client interactions to support further quality monitoring and improvement.</w:t>
      </w:r>
    </w:p>
    <w:p w14:paraId="6675E8C1" w14:textId="77777777" w:rsidR="00D35ADD" w:rsidRPr="00CB687E" w:rsidRDefault="00D35ADD" w:rsidP="00D35098">
      <w:pPr>
        <w:pStyle w:val="ListParagraph"/>
        <w:numPr>
          <w:ilvl w:val="0"/>
          <w:numId w:val="28"/>
        </w:numPr>
        <w:jc w:val="both"/>
      </w:pPr>
      <w:r w:rsidRPr="00CB687E">
        <w:t>Continued to share data with Supply Ontario regarding procurement spending.</w:t>
      </w:r>
    </w:p>
    <w:p w14:paraId="546F11FF" w14:textId="6840D652" w:rsidR="00D35ADD" w:rsidRPr="00CB687E" w:rsidRDefault="00D35ADD" w:rsidP="00D35098">
      <w:pPr>
        <w:pStyle w:val="ListParagraph"/>
        <w:numPr>
          <w:ilvl w:val="0"/>
          <w:numId w:val="28"/>
        </w:numPr>
        <w:jc w:val="both"/>
      </w:pPr>
      <w:r w:rsidRPr="00CB687E">
        <w:t>Developed new and expanded client evaluation surveys for implementation in 2025</w:t>
      </w:r>
      <w:r w:rsidR="00262658" w:rsidRPr="00262658">
        <w:t>–</w:t>
      </w:r>
      <w:r w:rsidRPr="00CB687E">
        <w:t xml:space="preserve">2026 to receive client feedback from all clients, not just those receiving in depth legal services. </w:t>
      </w:r>
    </w:p>
    <w:p w14:paraId="0CEDD64D" w14:textId="59408AA4" w:rsidR="00C40F3F" w:rsidRPr="00EA2809" w:rsidRDefault="00D35ADD" w:rsidP="00EA2809">
      <w:pPr>
        <w:pStyle w:val="ListParagraph"/>
        <w:numPr>
          <w:ilvl w:val="0"/>
          <w:numId w:val="28"/>
        </w:numPr>
        <w:jc w:val="both"/>
      </w:pPr>
      <w:r w:rsidRPr="00CB687E">
        <w:t>Continued to expand its service data through Client Tracking Tool and its digital platforms to inform its requisite operational and financial reporting through its published materials shared on its website, and with MAG.</w:t>
      </w:r>
    </w:p>
    <w:p w14:paraId="0E39FB8D" w14:textId="4B55D046" w:rsidR="00D35ADD" w:rsidRDefault="00D35ADD" w:rsidP="00D35ADD">
      <w:pPr>
        <w:pStyle w:val="Heading3"/>
      </w:pPr>
      <w:bookmarkStart w:id="128" w:name="_Toc204090313"/>
      <w:r w:rsidRPr="00CB687E">
        <w:t>6.7 Innovative (Service delivery methods and customer engagement)</w:t>
      </w:r>
      <w:bookmarkEnd w:id="128"/>
    </w:p>
    <w:p w14:paraId="61740C50" w14:textId="6944BD39" w:rsidR="00D35ADD" w:rsidRPr="00CB687E" w:rsidRDefault="00D35ADD" w:rsidP="00133C03">
      <w:pPr>
        <w:rPr>
          <w:b/>
          <w:bCs/>
        </w:rPr>
      </w:pPr>
      <w:r w:rsidRPr="00CB687E">
        <w:rPr>
          <w:b/>
          <w:bCs/>
        </w:rPr>
        <w:t>Government priorities in this respect include:</w:t>
      </w:r>
    </w:p>
    <w:p w14:paraId="3C094CD4" w14:textId="77777777" w:rsidR="00D35ADD" w:rsidRPr="00CB687E" w:rsidRDefault="00D35ADD" w:rsidP="00D35098">
      <w:pPr>
        <w:pStyle w:val="ListParagraph"/>
        <w:numPr>
          <w:ilvl w:val="0"/>
          <w:numId w:val="29"/>
        </w:numPr>
      </w:pPr>
      <w:r w:rsidRPr="00CB687E">
        <w:t>Exploring and implementing digitization for online service delivery to ensure customer service standards are met.</w:t>
      </w:r>
    </w:p>
    <w:p w14:paraId="4BD52CD8" w14:textId="3651ADF6" w:rsidR="00EA2809" w:rsidRDefault="00D35ADD" w:rsidP="00D35098">
      <w:pPr>
        <w:pStyle w:val="ListParagraph"/>
        <w:numPr>
          <w:ilvl w:val="0"/>
          <w:numId w:val="29"/>
        </w:numPr>
      </w:pPr>
      <w:r w:rsidRPr="00CB687E">
        <w:t>Using a variety of approaches or tools to ensure service delivery in all situations.</w:t>
      </w:r>
    </w:p>
    <w:p w14:paraId="4C262D6A" w14:textId="07E270CE" w:rsidR="00D35ADD" w:rsidRPr="00CB687E" w:rsidRDefault="00D35ADD" w:rsidP="00E43C20">
      <w:pPr>
        <w:rPr>
          <w:b/>
          <w:bCs/>
        </w:rPr>
      </w:pPr>
      <w:r w:rsidRPr="00CB687E">
        <w:rPr>
          <w:b/>
          <w:bCs/>
        </w:rPr>
        <w:t xml:space="preserve">Notable Achievements: </w:t>
      </w:r>
    </w:p>
    <w:p w14:paraId="6FA91844" w14:textId="51290BF5" w:rsidR="00D35ADD" w:rsidRPr="00CB687E" w:rsidRDefault="00D35ADD" w:rsidP="00D35098">
      <w:pPr>
        <w:pStyle w:val="ListParagraph"/>
        <w:numPr>
          <w:ilvl w:val="0"/>
          <w:numId w:val="27"/>
        </w:numPr>
        <w:jc w:val="both"/>
        <w:rPr>
          <w:rFonts w:cs="Tahoma"/>
        </w:rPr>
      </w:pPr>
      <w:r w:rsidRPr="00CB687E">
        <w:rPr>
          <w:rFonts w:cs="Tahoma"/>
        </w:rPr>
        <w:t xml:space="preserve">Increased access to HRLSC services, as measured by inquiry and summary advice numbers, despite reductions in legal staffing capacity due to strained resources. This was achieved in part through HRLSC’s relaunch of its online client portal which </w:t>
      </w:r>
      <w:r w:rsidRPr="00CB687E">
        <w:rPr>
          <w:rFonts w:cs="Tahoma"/>
        </w:rPr>
        <w:lastRenderedPageBreak/>
        <w:t xml:space="preserve">simplified and expanded access to HRLSC intake and summary advice services beyond regular business working hours. </w:t>
      </w:r>
    </w:p>
    <w:p w14:paraId="4514E3F6" w14:textId="778DAE6A" w:rsidR="00D35ADD" w:rsidRPr="00CB687E" w:rsidRDefault="00D35ADD" w:rsidP="00D35098">
      <w:pPr>
        <w:pStyle w:val="ListParagraph"/>
        <w:numPr>
          <w:ilvl w:val="0"/>
          <w:numId w:val="11"/>
        </w:numPr>
        <w:jc w:val="both"/>
        <w:rPr>
          <w:rFonts w:cs="Tahoma"/>
        </w:rPr>
      </w:pPr>
      <w:r w:rsidRPr="00CB687E">
        <w:rPr>
          <w:rFonts w:cs="Tahoma"/>
        </w:rPr>
        <w:t xml:space="preserve">Updated website structure and created significant new content for website, for user friendliness and accessibility. </w:t>
      </w:r>
    </w:p>
    <w:p w14:paraId="4D7A2690" w14:textId="61947FC3" w:rsidR="00D35ADD" w:rsidRPr="00CB687E" w:rsidRDefault="00D35ADD" w:rsidP="00D35098">
      <w:pPr>
        <w:pStyle w:val="ListParagraph"/>
        <w:numPr>
          <w:ilvl w:val="0"/>
          <w:numId w:val="11"/>
        </w:numPr>
        <w:jc w:val="both"/>
        <w:rPr>
          <w:rFonts w:cs="Tahoma"/>
        </w:rPr>
      </w:pPr>
      <w:r w:rsidRPr="00CB687E">
        <w:rPr>
          <w:rFonts w:cs="Tahoma"/>
        </w:rPr>
        <w:t>Expanded participation in speaking events and public legal education around the province to support access to its services (as summarized in section</w:t>
      </w:r>
      <w:r w:rsidR="002E6B9F">
        <w:rPr>
          <w:rFonts w:cs="Tahoma"/>
        </w:rPr>
        <w:t xml:space="preserve"> 3</w:t>
      </w:r>
      <w:r w:rsidRPr="00CB687E">
        <w:rPr>
          <w:rFonts w:cs="Tahoma"/>
        </w:rPr>
        <w:t>).</w:t>
      </w:r>
    </w:p>
    <w:p w14:paraId="6226461D" w14:textId="6F5C746B" w:rsidR="00133C03" w:rsidRDefault="00D35ADD" w:rsidP="00D35098">
      <w:pPr>
        <w:pStyle w:val="ListParagraph"/>
        <w:numPr>
          <w:ilvl w:val="0"/>
          <w:numId w:val="11"/>
        </w:numPr>
        <w:jc w:val="both"/>
        <w:rPr>
          <w:rFonts w:cs="Tahoma"/>
        </w:rPr>
      </w:pPr>
      <w:r w:rsidRPr="00CB687E">
        <w:rPr>
          <w:rFonts w:cs="Tahoma"/>
        </w:rPr>
        <w:t xml:space="preserve">Commenced development of new LFO-grant-funded Guided Pathways online tool, in partnership with CLEO, to </w:t>
      </w:r>
      <w:r w:rsidR="00842A55" w:rsidRPr="00CB687E">
        <w:rPr>
          <w:rFonts w:cs="Tahoma"/>
        </w:rPr>
        <w:t>assist Ontarians in preparing and filing their applications at the Human Rights Tribunal of Ontario</w:t>
      </w:r>
      <w:r w:rsidRPr="00CB687E">
        <w:rPr>
          <w:rFonts w:cs="Tahoma"/>
        </w:rPr>
        <w:t>.</w:t>
      </w:r>
    </w:p>
    <w:p w14:paraId="51EB5511" w14:textId="48EB1792" w:rsidR="00133C03" w:rsidRDefault="007200A9">
      <w:pPr>
        <w:rPr>
          <w:rFonts w:cs="Tahoma"/>
        </w:rPr>
      </w:pPr>
      <w:r w:rsidRPr="00133C03">
        <w:rPr>
          <w:rFonts w:cs="Tahoma"/>
          <w:noProof/>
        </w:rPr>
        <mc:AlternateContent>
          <mc:Choice Requires="wps">
            <w:drawing>
              <wp:anchor distT="91440" distB="91440" distL="114300" distR="114300" simplePos="0" relativeHeight="251691012" behindDoc="0" locked="0" layoutInCell="1" allowOverlap="1" wp14:anchorId="42E3276E" wp14:editId="54138021">
                <wp:simplePos x="0" y="0"/>
                <wp:positionH relativeFrom="margin">
                  <wp:posOffset>371475</wp:posOffset>
                </wp:positionH>
                <wp:positionV relativeFrom="margin">
                  <wp:posOffset>3409950</wp:posOffset>
                </wp:positionV>
                <wp:extent cx="5257800" cy="3152775"/>
                <wp:effectExtent l="0" t="0" r="0" b="0"/>
                <wp:wrapSquare wrapText="bothSides"/>
                <wp:docPr id="926643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152775"/>
                        </a:xfrm>
                        <a:prstGeom prst="rect">
                          <a:avLst/>
                        </a:prstGeom>
                        <a:noFill/>
                        <a:ln w="9525">
                          <a:noFill/>
                          <a:miter lim="800000"/>
                          <a:headEnd/>
                          <a:tailEnd/>
                        </a:ln>
                      </wps:spPr>
                      <wps:txbx>
                        <w:txbxContent>
                          <w:p w14:paraId="631DE0C9" w14:textId="74C18224" w:rsidR="008A6956" w:rsidRDefault="00F60A35" w:rsidP="00CF2C10">
                            <w:pPr>
                              <w:pBdr>
                                <w:top w:val="single" w:sz="24" w:space="8" w:color="156082" w:themeColor="accent1"/>
                                <w:bottom w:val="single" w:sz="24" w:space="8" w:color="156082" w:themeColor="accent1"/>
                              </w:pBdr>
                              <w:rPr>
                                <w:i/>
                                <w:iCs/>
                                <w:color w:val="156082" w:themeColor="accent1"/>
                                <w:sz w:val="32"/>
                                <w:szCs w:val="32"/>
                              </w:rPr>
                            </w:pPr>
                            <w:r>
                              <w:rPr>
                                <w:i/>
                                <w:iCs/>
                                <w:color w:val="156082" w:themeColor="accent1"/>
                                <w:sz w:val="32"/>
                                <w:szCs w:val="32"/>
                                <w:lang w:val="en-US"/>
                              </w:rPr>
                              <w:t>’’</w:t>
                            </w:r>
                            <w:r w:rsidR="00CF2C10" w:rsidRPr="00CF2C10">
                              <w:rPr>
                                <w:i/>
                                <w:iCs/>
                                <w:color w:val="156082" w:themeColor="accent1"/>
                                <w:sz w:val="32"/>
                                <w:szCs w:val="32"/>
                              </w:rPr>
                              <w:t xml:space="preserve">From the very beginning, I felt genuinely supported and understood by each member of your team. The meticulous preparation of your team, attention to every detail, and compassionate approach were not just professional but truly extraordinary. [the HRLSC’s staff], was exceptional in explaining how the system works… </w:t>
                            </w:r>
                          </w:p>
                          <w:p w14:paraId="085E9144" w14:textId="49A1E6BE" w:rsidR="00CF2C10" w:rsidRPr="00CF2C10" w:rsidRDefault="00CF2C10" w:rsidP="00CF2C10">
                            <w:pPr>
                              <w:pBdr>
                                <w:top w:val="single" w:sz="24" w:space="8" w:color="156082" w:themeColor="accent1"/>
                                <w:bottom w:val="single" w:sz="24" w:space="8" w:color="156082" w:themeColor="accent1"/>
                              </w:pBdr>
                              <w:rPr>
                                <w:i/>
                                <w:iCs/>
                                <w:color w:val="156082" w:themeColor="accent1"/>
                                <w:sz w:val="32"/>
                                <w:szCs w:val="32"/>
                                <w:lang w:val="en-US"/>
                              </w:rPr>
                            </w:pPr>
                            <w:r w:rsidRPr="00CF2C10">
                              <w:rPr>
                                <w:i/>
                                <w:iCs/>
                                <w:color w:val="156082" w:themeColor="accent1"/>
                                <w:sz w:val="32"/>
                                <w:szCs w:val="32"/>
                              </w:rPr>
                              <w:t>You all went above and beyond, and it made all the difference in the outcome of my case.”</w:t>
                            </w:r>
                          </w:p>
                          <w:p w14:paraId="44307E89" w14:textId="2EF7942D" w:rsidR="00EA2809" w:rsidRPr="009C639F" w:rsidRDefault="007200A9" w:rsidP="00EA2809">
                            <w:pPr>
                              <w:pBdr>
                                <w:top w:val="single" w:sz="24" w:space="8" w:color="156082" w:themeColor="accent1"/>
                                <w:bottom w:val="single" w:sz="24" w:space="8" w:color="156082" w:themeColor="accent1"/>
                              </w:pBdr>
                              <w:rPr>
                                <w:i/>
                                <w:iCs/>
                                <w:color w:val="156082" w:themeColor="accent1"/>
                                <w:sz w:val="32"/>
                                <w:szCs w:val="32"/>
                                <w:lang w:val="en-US"/>
                              </w:rPr>
                            </w:pPr>
                            <w:r w:rsidRPr="007200A9">
                              <w:rPr>
                                <w:i/>
                                <w:iCs/>
                                <w:color w:val="156082" w:themeColor="accent1"/>
                                <w:sz w:val="32"/>
                                <w:szCs w:val="32"/>
                                <w:lang w:val="en-US"/>
                              </w:rPr>
                              <w:t>– HRLSC Client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3276E" id="_x0000_s1037" type="#_x0000_t202" style="position:absolute;margin-left:29.25pt;margin-top:268.5pt;width:414pt;height:248.25pt;z-index:2516910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" filled="f" stroked="f">
                <v:textbox>
                  <w:txbxContent>
                    <w:p w14:paraId="631DE0C9" w14:textId="74C18224" w:rsidR="008A6956" w:rsidRDefault="00F60A35" w:rsidP="00CF2C10">
                      <w:pPr>
                        <w:pBdr>
                          <w:top w:val="single" w:sz="24" w:space="8" w:color="156082" w:themeColor="accent1"/>
                          <w:bottom w:val="single" w:sz="24" w:space="8" w:color="156082" w:themeColor="accent1"/>
                        </w:pBdr>
                        <w:rPr>
                          <w:i/>
                          <w:iCs/>
                          <w:color w:val="156082" w:themeColor="accent1"/>
                          <w:sz w:val="32"/>
                          <w:szCs w:val="32"/>
                        </w:rPr>
                      </w:pPr>
                      <w:r>
                        <w:rPr>
                          <w:i/>
                          <w:iCs/>
                          <w:color w:val="156082" w:themeColor="accent1"/>
                          <w:sz w:val="32"/>
                          <w:szCs w:val="32"/>
                          <w:lang w:val="en-US"/>
                        </w:rPr>
                        <w:t>’’</w:t>
                      </w:r>
                      <w:r w:rsidR="00CF2C10" w:rsidRPr="00CF2C10">
                        <w:rPr>
                          <w:i/>
                          <w:iCs/>
                          <w:color w:val="156082" w:themeColor="accent1"/>
                          <w:sz w:val="32"/>
                          <w:szCs w:val="32"/>
                        </w:rPr>
                        <w:t xml:space="preserve">From the very beginning, I felt genuinely supported and understood by each member of your team. The meticulous preparation of your team, attention to every detail, and compassionate approach were not just professional but truly extraordinary. [the HRLSC’s staff], was exceptional in explaining how the system works… </w:t>
                      </w:r>
                    </w:p>
                    <w:p w14:paraId="085E9144" w14:textId="49A1E6BE" w:rsidR="00CF2C10" w:rsidRPr="00CF2C10" w:rsidRDefault="00CF2C10" w:rsidP="00CF2C10">
                      <w:pPr>
                        <w:pBdr>
                          <w:top w:val="single" w:sz="24" w:space="8" w:color="156082" w:themeColor="accent1"/>
                          <w:bottom w:val="single" w:sz="24" w:space="8" w:color="156082" w:themeColor="accent1"/>
                        </w:pBdr>
                        <w:rPr>
                          <w:i/>
                          <w:iCs/>
                          <w:color w:val="156082" w:themeColor="accent1"/>
                          <w:sz w:val="32"/>
                          <w:szCs w:val="32"/>
                          <w:lang w:val="en-US"/>
                        </w:rPr>
                      </w:pPr>
                      <w:r w:rsidRPr="00CF2C10">
                        <w:rPr>
                          <w:i/>
                          <w:iCs/>
                          <w:color w:val="156082" w:themeColor="accent1"/>
                          <w:sz w:val="32"/>
                          <w:szCs w:val="32"/>
                        </w:rPr>
                        <w:t>You all went above and beyond, and it made all the difference in the outcome of my case.”</w:t>
                      </w:r>
                    </w:p>
                    <w:p w14:paraId="44307E89" w14:textId="2EF7942D" w:rsidR="00EA2809" w:rsidRPr="009C639F" w:rsidRDefault="007200A9" w:rsidP="00EA2809">
                      <w:pPr>
                        <w:pBdr>
                          <w:top w:val="single" w:sz="24" w:space="8" w:color="156082" w:themeColor="accent1"/>
                          <w:bottom w:val="single" w:sz="24" w:space="8" w:color="156082" w:themeColor="accent1"/>
                        </w:pBdr>
                        <w:rPr>
                          <w:i/>
                          <w:iCs/>
                          <w:color w:val="156082" w:themeColor="accent1"/>
                          <w:sz w:val="32"/>
                          <w:szCs w:val="32"/>
                          <w:lang w:val="en-US"/>
                        </w:rPr>
                      </w:pPr>
                      <w:r w:rsidRPr="007200A9">
                        <w:rPr>
                          <w:i/>
                          <w:iCs/>
                          <w:color w:val="156082" w:themeColor="accent1"/>
                          <w:sz w:val="32"/>
                          <w:szCs w:val="32"/>
                          <w:lang w:val="en-US"/>
                        </w:rPr>
                        <w:t>– HRLSC Client</w:t>
                      </w:r>
                    </w:p>
                  </w:txbxContent>
                </v:textbox>
                <w10:wrap type="square" anchorx="margin" anchory="margin"/>
              </v:shape>
            </w:pict>
          </mc:Fallback>
        </mc:AlternateContent>
      </w:r>
      <w:r w:rsidR="00133C03">
        <w:rPr>
          <w:rFonts w:cs="Tahoma"/>
        </w:rPr>
        <w:br w:type="page"/>
      </w:r>
    </w:p>
    <w:p w14:paraId="7771BF8B" w14:textId="482CB752" w:rsidR="000C779F" w:rsidRPr="00CB687E" w:rsidRDefault="000C779F" w:rsidP="00D35098">
      <w:pPr>
        <w:pStyle w:val="Heading1"/>
        <w:numPr>
          <w:ilvl w:val="0"/>
          <w:numId w:val="13"/>
        </w:numPr>
      </w:pPr>
      <w:bookmarkStart w:id="129" w:name="_Toc204090314"/>
      <w:r w:rsidRPr="00CB687E">
        <w:lastRenderedPageBreak/>
        <w:t>Risk Events</w:t>
      </w:r>
      <w:bookmarkEnd w:id="129"/>
    </w:p>
    <w:p w14:paraId="615ED49B" w14:textId="32AEF40E" w:rsidR="0019573B" w:rsidRPr="00CB687E" w:rsidRDefault="0019573B" w:rsidP="00140CC9">
      <w:r w:rsidRPr="00CB687E">
        <w:t xml:space="preserve">This section outlines </w:t>
      </w:r>
      <w:r w:rsidR="00971190">
        <w:t xml:space="preserve">the </w:t>
      </w:r>
      <w:r w:rsidRPr="00CB687E">
        <w:t>HRLSC’s assessment of risks related to workforce management, bargaining, competitiveness, sustainability, HRTO operations, and IT security measures.</w:t>
      </w:r>
    </w:p>
    <w:p w14:paraId="791D61EC" w14:textId="3ACEE0DA" w:rsidR="0019573B" w:rsidRPr="00CB687E" w:rsidRDefault="0019573B" w:rsidP="0019573B">
      <w:pPr>
        <w:pStyle w:val="Heading2"/>
        <w:rPr>
          <w:rFonts w:eastAsia="Yu Gothic Light"/>
        </w:rPr>
      </w:pPr>
      <w:bookmarkStart w:id="130" w:name="_Toc204090315"/>
      <w:r w:rsidRPr="00CB687E">
        <w:rPr>
          <w:rFonts w:eastAsia="Yu Gothic Light"/>
        </w:rPr>
        <w:t>7.1 Workforce Management</w:t>
      </w:r>
      <w:bookmarkEnd w:id="130"/>
    </w:p>
    <w:p w14:paraId="524FCEB9" w14:textId="0BA9637B" w:rsidR="0019573B" w:rsidRPr="00CB687E" w:rsidRDefault="0019573B" w:rsidP="00140CC9">
      <w:r w:rsidRPr="00CB687E">
        <w:t>The HRLSC provides an assessment of the immediate risks to its workforce management through its annual Human Capital Plan provided in its yearly Operational Business Plan (OBP), as well as through its ongoing maintenance and updating of a Risk Registry. This is reported quarterly to our</w:t>
      </w:r>
      <w:r w:rsidR="00E21517" w:rsidRPr="00CB687E">
        <w:t xml:space="preserve"> provincial</w:t>
      </w:r>
      <w:r w:rsidRPr="00CB687E">
        <w:t xml:space="preserve"> funder MAG, along with the Workforce Data and Human Resources Reporting. Additionally, </w:t>
      </w:r>
      <w:r w:rsidR="0005032A">
        <w:t xml:space="preserve">the </w:t>
      </w:r>
      <w:r w:rsidRPr="00CB687E">
        <w:t>HRLSC tracks potential future long-term trends and threats to its workforce through the OBP’s Environmental Scan.</w:t>
      </w:r>
    </w:p>
    <w:p w14:paraId="3D373934" w14:textId="132D7A57" w:rsidR="0019573B" w:rsidRPr="00CB687E" w:rsidRDefault="0019573B" w:rsidP="00140CC9">
      <w:r w:rsidRPr="00CB687E">
        <w:t>During the 2024</w:t>
      </w:r>
      <w:r w:rsidR="00913BD7" w:rsidRPr="00913BD7">
        <w:t>–</w:t>
      </w:r>
      <w:r w:rsidRPr="00CB687E">
        <w:t xml:space="preserve">2025 fiscal year, </w:t>
      </w:r>
      <w:r w:rsidR="0005032A">
        <w:t xml:space="preserve">the </w:t>
      </w:r>
      <w:r w:rsidRPr="00CB687E">
        <w:t>HRLSC continued to experience significant challenges to financial sustainability which continued to negatively impact staff recruitment and retention, leading to significant and consistent high workforce turnover.</w:t>
      </w:r>
    </w:p>
    <w:p w14:paraId="3A15990B" w14:textId="2D73511E" w:rsidR="001613C6" w:rsidRPr="00CB687E" w:rsidRDefault="00913BD7" w:rsidP="001613C6">
      <w:r>
        <w:t xml:space="preserve">The </w:t>
      </w:r>
      <w:r w:rsidR="001613C6" w:rsidRPr="00CB687E">
        <w:t>HRLSC presented an Emergency Business Case and long-term financial sustainability submission to MAG and TBS this past fiscal year and continued to have ongoing discussions with MAG about long-term financial sustainability concerns, including addressing salary disparities and annual wage increases for staff.</w:t>
      </w:r>
    </w:p>
    <w:p w14:paraId="159120D5" w14:textId="51E256B6" w:rsidR="001613C6" w:rsidRPr="00CB687E" w:rsidRDefault="0019573B" w:rsidP="00140CC9">
      <w:r w:rsidRPr="00CB687E">
        <w:t>The HRLSC is actively seeking to increase and diversify its funding to ensure future capacity to hire and retain critical staff positions</w:t>
      </w:r>
      <w:r w:rsidR="00FD5BC3" w:rsidRPr="00CB687E">
        <w:t>, at least on a</w:t>
      </w:r>
      <w:r w:rsidR="005D6584" w:rsidRPr="00CB687E">
        <w:t xml:space="preserve"> short-term basis,</w:t>
      </w:r>
      <w:r w:rsidRPr="00CB687E">
        <w:t xml:space="preserve"> to align with C</w:t>
      </w:r>
      <w:r w:rsidR="00913BD7">
        <w:t>entre</w:t>
      </w:r>
      <w:r w:rsidRPr="00CB687E">
        <w:t>’s five-year strategic plan and mandate</w:t>
      </w:r>
      <w:r w:rsidR="00C57145" w:rsidRPr="00CB687E">
        <w:t>.</w:t>
      </w:r>
    </w:p>
    <w:p w14:paraId="7207D589" w14:textId="6C171C05" w:rsidR="0019573B" w:rsidRPr="00CB687E" w:rsidRDefault="0019573B" w:rsidP="0019573B">
      <w:pPr>
        <w:pStyle w:val="Heading2"/>
        <w:rPr>
          <w:rFonts w:eastAsia="Yu Gothic Light"/>
        </w:rPr>
      </w:pPr>
      <w:bookmarkStart w:id="131" w:name="_Toc204090316"/>
      <w:r w:rsidRPr="00CB687E">
        <w:rPr>
          <w:rFonts w:eastAsia="Yu Gothic Light"/>
        </w:rPr>
        <w:t>7.2 Bargaining</w:t>
      </w:r>
      <w:bookmarkEnd w:id="131"/>
    </w:p>
    <w:p w14:paraId="3197E201" w14:textId="14BF26FF" w:rsidR="0019573B" w:rsidRPr="00CB687E" w:rsidRDefault="0019573B" w:rsidP="00140CC9">
      <w:r w:rsidRPr="00CB687E">
        <w:t xml:space="preserve">The HRLSC and OPSEU </w:t>
      </w:r>
      <w:r w:rsidR="00E21517" w:rsidRPr="00CB687E">
        <w:t>ratified</w:t>
      </w:r>
      <w:r w:rsidRPr="00CB687E">
        <w:t xml:space="preserve"> </w:t>
      </w:r>
      <w:r w:rsidR="00E21517" w:rsidRPr="00CB687E">
        <w:t xml:space="preserve">the </w:t>
      </w:r>
      <w:r w:rsidRPr="00CB687E">
        <w:t>2022</w:t>
      </w:r>
      <w:r w:rsidR="00913BD7" w:rsidRPr="00913BD7">
        <w:t>–</w:t>
      </w:r>
      <w:r w:rsidRPr="00CB687E">
        <w:t>2024 collective agreement for non-legal unionized staff</w:t>
      </w:r>
      <w:r w:rsidR="72F41077">
        <w:t xml:space="preserve"> this past fiscal year</w:t>
      </w:r>
      <w:r w:rsidRPr="00CB687E">
        <w:t>. The risk for 2024</w:t>
      </w:r>
      <w:r w:rsidR="00913BD7" w:rsidRPr="00913BD7">
        <w:t>–</w:t>
      </w:r>
      <w:r w:rsidRPr="00CB687E">
        <w:t xml:space="preserve">2025 remains in managing and sustaining retroactive </w:t>
      </w:r>
      <w:r w:rsidR="001613C6" w:rsidRPr="00CB687E">
        <w:t xml:space="preserve">annual </w:t>
      </w:r>
      <w:r w:rsidRPr="00CB687E">
        <w:t xml:space="preserve">increases stemming </w:t>
      </w:r>
      <w:r w:rsidR="001613C6" w:rsidRPr="00CB687E">
        <w:t>from</w:t>
      </w:r>
      <w:r w:rsidRPr="00CB687E">
        <w:t xml:space="preserve"> ratification.</w:t>
      </w:r>
      <w:r w:rsidR="1A7CBDD0">
        <w:t xml:space="preserve"> Bargaining will </w:t>
      </w:r>
      <w:r w:rsidR="25BFE394">
        <w:t>also need to</w:t>
      </w:r>
      <w:r w:rsidR="1A7CBDD0">
        <w:t xml:space="preserve"> recommenc</w:t>
      </w:r>
      <w:r w:rsidR="70CBCEC8">
        <w:t>e</w:t>
      </w:r>
      <w:r w:rsidR="1A7CBDD0">
        <w:t xml:space="preserve"> </w:t>
      </w:r>
      <w:proofErr w:type="gramStart"/>
      <w:r w:rsidR="1568730F">
        <w:t>in the near future</w:t>
      </w:r>
      <w:proofErr w:type="gramEnd"/>
      <w:r w:rsidR="1568730F">
        <w:t xml:space="preserve"> </w:t>
      </w:r>
      <w:r w:rsidR="1A7CBDD0">
        <w:t>on the terms of a new collective agreement, due to the prot</w:t>
      </w:r>
      <w:r w:rsidR="17DF505B">
        <w:t>r</w:t>
      </w:r>
      <w:r w:rsidR="1A7CBDD0">
        <w:t>acted period of negotiation for the 2022</w:t>
      </w:r>
      <w:r w:rsidR="004459AC" w:rsidRPr="004459AC">
        <w:t>–</w:t>
      </w:r>
      <w:r w:rsidR="1A7CBDD0">
        <w:t>2024</w:t>
      </w:r>
      <w:r w:rsidR="230DAB44">
        <w:t xml:space="preserve"> Collective Agreement</w:t>
      </w:r>
      <w:r w:rsidR="25525B30">
        <w:t xml:space="preserve"> which was only settled this past year</w:t>
      </w:r>
      <w:r w:rsidR="230DAB44">
        <w:t xml:space="preserve">. </w:t>
      </w:r>
    </w:p>
    <w:p w14:paraId="0C52954A" w14:textId="4EB3FF1A" w:rsidR="0019573B" w:rsidRPr="00CB687E" w:rsidRDefault="0019573B" w:rsidP="00140CC9">
      <w:r w:rsidRPr="00CB687E">
        <w:t>The HRLSC and OPSEU have commenced negotiations for the counsel bargaining unit as of 2024</w:t>
      </w:r>
      <w:r w:rsidR="00913BD7" w:rsidRPr="00913BD7">
        <w:t>–</w:t>
      </w:r>
      <w:r w:rsidRPr="00CB687E">
        <w:t xml:space="preserve">2025. The HRLSC looks forward to working with its counsel and their new </w:t>
      </w:r>
      <w:r w:rsidRPr="00CB687E">
        <w:lastRenderedPageBreak/>
        <w:t>OPSEU bargaining agent to make the C</w:t>
      </w:r>
      <w:r w:rsidR="00913BD7">
        <w:t>entre</w:t>
      </w:r>
      <w:r w:rsidRPr="00CB687E">
        <w:t xml:space="preserve"> an employer of choice as part of the HRLSC’s five-year strategic plan and mandate.</w:t>
      </w:r>
    </w:p>
    <w:p w14:paraId="4DE01412" w14:textId="0C94F6EE" w:rsidR="0019573B" w:rsidRPr="00CB687E" w:rsidRDefault="0019573B" w:rsidP="0019573B">
      <w:pPr>
        <w:pStyle w:val="Heading2"/>
        <w:rPr>
          <w:rFonts w:eastAsia="Yu Gothic Light"/>
        </w:rPr>
      </w:pPr>
      <w:bookmarkStart w:id="132" w:name="_Toc204090317"/>
      <w:r w:rsidRPr="00CB687E">
        <w:rPr>
          <w:rFonts w:eastAsia="Yu Gothic Light"/>
        </w:rPr>
        <w:t>7.3 Competitiveness and Sustainability</w:t>
      </w:r>
      <w:bookmarkEnd w:id="132"/>
    </w:p>
    <w:p w14:paraId="050289B4" w14:textId="5E790108" w:rsidR="00BB0799" w:rsidRPr="00CB687E" w:rsidRDefault="58A38255" w:rsidP="00140CC9">
      <w:r w:rsidRPr="00CB687E">
        <w:t>The HRLSC continues to provide financial forecasting in its yearly Operational Business Plans to assess potential risks to its services and staffing. While the HRLSC has been effective in sharing prompt updates about its financial standing and in looking at creative solutions to budgetary constraints and sustainability challenges, it relies heavily upon the attention and action of MAG and the Treasury Board Secretariat. The HRLSC continues to seek out creative alternative sources of funding and support</w:t>
      </w:r>
      <w:r w:rsidR="6D36F887" w:rsidRPr="00CB687E">
        <w:t>. During Strategic Planning consultations, stakeholders emphasized the need for the HRLSC</w:t>
      </w:r>
      <w:r w:rsidRPr="00CB687E">
        <w:t xml:space="preserve"> </w:t>
      </w:r>
      <w:r w:rsidR="6D36F887" w:rsidRPr="00CB687E">
        <w:t>to be</w:t>
      </w:r>
      <w:r w:rsidRPr="00CB687E">
        <w:t xml:space="preserve"> mindful of the critical role of stable government funding for effective human rights institutions.</w:t>
      </w:r>
      <w:r w:rsidR="00BB0799" w:rsidRPr="285EF893">
        <w:rPr>
          <w:rStyle w:val="FootnoteReference"/>
        </w:rPr>
        <w:footnoteReference w:id="14"/>
      </w:r>
      <w:r w:rsidR="6D36F887" w:rsidRPr="00CB687E">
        <w:t xml:space="preserve"> Various stakeholders expressed concern regarding the HRLSC’s static provincial funding and sought transparency regarding what efforts the C</w:t>
      </w:r>
      <w:r w:rsidR="019FA909">
        <w:t>entre</w:t>
      </w:r>
      <w:r w:rsidR="6D36F887" w:rsidRPr="00CB687E">
        <w:t xml:space="preserve"> was taking to mitigate this sustainability risk, which stakeholders viewed as jeopardizing their communities’ and clients’ fundamental human rights.</w:t>
      </w:r>
    </w:p>
    <w:p w14:paraId="2D173FAC" w14:textId="5A01C0CB" w:rsidR="0019573B" w:rsidRPr="00CB687E" w:rsidRDefault="0019573B" w:rsidP="0019573B">
      <w:pPr>
        <w:pStyle w:val="Heading2"/>
        <w:rPr>
          <w:rFonts w:eastAsia="Yu Gothic Light"/>
        </w:rPr>
      </w:pPr>
      <w:bookmarkStart w:id="133" w:name="_Toc204090318"/>
      <w:r w:rsidRPr="00CB687E">
        <w:rPr>
          <w:rFonts w:eastAsia="Yu Gothic Light"/>
        </w:rPr>
        <w:t>7.4 HRTO Operations</w:t>
      </w:r>
      <w:bookmarkEnd w:id="133"/>
    </w:p>
    <w:p w14:paraId="6FF271A3" w14:textId="63297A3A" w:rsidR="0019573B" w:rsidRPr="00CB687E" w:rsidRDefault="0019573B" w:rsidP="00140CC9">
      <w:r w:rsidRPr="00CB687E">
        <w:t>In the 2024</w:t>
      </w:r>
      <w:r w:rsidR="002A13D2" w:rsidRPr="002A13D2">
        <w:t>–</w:t>
      </w:r>
      <w:r w:rsidRPr="00CB687E">
        <w:t>2025 fiscal period, the operation of the HRTO continued to have a significant impact on the delivery of the HRLSC’s legal services. The HRLSC maintain</w:t>
      </w:r>
      <w:r w:rsidR="00546AC1" w:rsidRPr="00CB687E">
        <w:t>s</w:t>
      </w:r>
      <w:r w:rsidRPr="00CB687E">
        <w:t xml:space="preserve"> and develop</w:t>
      </w:r>
      <w:r w:rsidR="00546AC1" w:rsidRPr="00CB687E">
        <w:t>s</w:t>
      </w:r>
      <w:r w:rsidRPr="00CB687E">
        <w:t xml:space="preserve"> strong relationships with key administrators both at Tribunals Ontario and at the HRTO, including regular one-on-one meetings with the HRTO and quarterly Three Pillars meetings (HRTO, OHRC and HRLSC). This permits the HRLSC to effectively </w:t>
      </w:r>
      <w:r w:rsidRPr="00CB687E">
        <w:lastRenderedPageBreak/>
        <w:t>identify, monitor and manage risks regarding potential fluctuations in the HRTO’s operational delivery.</w:t>
      </w:r>
    </w:p>
    <w:p w14:paraId="42FE7758" w14:textId="7171C1D6" w:rsidR="0019573B" w:rsidRPr="00CB687E" w:rsidRDefault="0019573B" w:rsidP="00140CC9">
      <w:r w:rsidRPr="00CB687E">
        <w:t xml:space="preserve">The HRTO has augmented its roster of Vice-Chairs and members over the last fiscal </w:t>
      </w:r>
      <w:r w:rsidR="0061483D" w:rsidRPr="00CB687E">
        <w:t xml:space="preserve">year </w:t>
      </w:r>
      <w:r w:rsidRPr="00CB687E">
        <w:t>which should assist in addressing some of the delays and backlogs at the HRTO.</w:t>
      </w:r>
      <w:r w:rsidR="00A6779D">
        <w:t xml:space="preserve"> </w:t>
      </w:r>
      <w:r w:rsidRPr="00CB687E">
        <w:t xml:space="preserve">The HRTO’s continued emphasis on preliminary and procedural hearings in the last fiscal </w:t>
      </w:r>
      <w:r w:rsidR="0061483D" w:rsidRPr="00CB687E">
        <w:t xml:space="preserve">year </w:t>
      </w:r>
      <w:r w:rsidRPr="00CB687E">
        <w:t xml:space="preserve">has impacted the HRLSC in terms of sustained requests for legal services connected to this pre-merit hearing context. The HRLSC provides extensive summary advice, information, interviews and other in-depth legal services to </w:t>
      </w:r>
      <w:r w:rsidR="00546AC1" w:rsidRPr="00CB687E">
        <w:t xml:space="preserve">the public and </w:t>
      </w:r>
      <w:r w:rsidRPr="00CB687E">
        <w:t xml:space="preserve">HRTO applicants required to respond to requests and directions for case-related submissions, updates, and other information. </w:t>
      </w:r>
    </w:p>
    <w:p w14:paraId="373551FF" w14:textId="4942F99B" w:rsidR="0019573B" w:rsidRPr="00CB687E" w:rsidRDefault="0019573B" w:rsidP="00140CC9">
      <w:pPr>
        <w:rPr>
          <w:i/>
          <w:iCs/>
        </w:rPr>
      </w:pPr>
      <w:r w:rsidRPr="00CB687E">
        <w:t>The HRTO</w:t>
      </w:r>
      <w:r w:rsidR="003B2348" w:rsidRPr="00CB687E">
        <w:t xml:space="preserve"> </w:t>
      </w:r>
      <w:r w:rsidRPr="00CB687E">
        <w:t>announced the introduction of mandatory mediation effective June 1, 2025.</w:t>
      </w:r>
      <w:r w:rsidR="008B46D9">
        <w:t xml:space="preserve"> </w:t>
      </w:r>
      <w:r w:rsidRPr="00CB687E">
        <w:t>With many more HRTO mediations set to be scheduled, the HRLSC anticipates that there will be a corresponding spike in requests for legal services related to mediations, including representation in the coming reporting period.</w:t>
      </w:r>
    </w:p>
    <w:p w14:paraId="344E3329" w14:textId="7275010B" w:rsidR="0019573B" w:rsidRPr="00CB687E" w:rsidRDefault="0019573B" w:rsidP="0019573B">
      <w:pPr>
        <w:pStyle w:val="Heading2"/>
        <w:rPr>
          <w:rFonts w:eastAsia="Yu Gothic Light"/>
        </w:rPr>
      </w:pPr>
      <w:bookmarkStart w:id="134" w:name="_Toc204090319"/>
      <w:r w:rsidRPr="00CB687E">
        <w:rPr>
          <w:rFonts w:eastAsia="Yu Gothic Light"/>
        </w:rPr>
        <w:t>7.5 IT Security Measures</w:t>
      </w:r>
      <w:bookmarkEnd w:id="134"/>
      <w:r w:rsidRPr="00CB687E">
        <w:rPr>
          <w:rFonts w:eastAsia="Yu Gothic Light"/>
        </w:rPr>
        <w:t xml:space="preserve"> </w:t>
      </w:r>
    </w:p>
    <w:p w14:paraId="34065F66" w14:textId="704891CF" w:rsidR="002A5EC1" w:rsidRPr="00CB687E" w:rsidRDefault="001F3A0A" w:rsidP="00140CC9">
      <w:pPr>
        <w:rPr>
          <w:iCs/>
        </w:rPr>
      </w:pPr>
      <w:r>
        <w:t xml:space="preserve">The </w:t>
      </w:r>
      <w:r w:rsidR="0019573B" w:rsidRPr="00CB687E">
        <w:t>HRLSC continues to identify and address enhanced security measures, following the cybersecurity incident in 2023</w:t>
      </w:r>
      <w:r w:rsidR="003B2348" w:rsidRPr="00CB687E">
        <w:t>. It has commenced efforts to integrate HRLSC IT systems within the broader OPS IT network (see section 6.1.2)</w:t>
      </w:r>
      <w:r w:rsidR="0019573B" w:rsidRPr="00CB687E">
        <w:t xml:space="preserve">. </w:t>
      </w:r>
      <w:r w:rsidR="003B2348" w:rsidRPr="00CB687E">
        <w:t xml:space="preserve">Moreover, </w:t>
      </w:r>
      <w:r w:rsidR="0019573B" w:rsidRPr="00CB687E">
        <w:t xml:space="preserve">MAG approved </w:t>
      </w:r>
      <w:r w:rsidR="0019573B" w:rsidRPr="00CB687E">
        <w:rPr>
          <w:iCs/>
        </w:rPr>
        <w:t xml:space="preserve">a list of </w:t>
      </w:r>
      <w:r w:rsidR="002A13D2">
        <w:rPr>
          <w:iCs/>
        </w:rPr>
        <w:t>20</w:t>
      </w:r>
      <w:r w:rsidR="0019573B" w:rsidRPr="00CB687E">
        <w:rPr>
          <w:iCs/>
        </w:rPr>
        <w:t>24</w:t>
      </w:r>
      <w:r w:rsidR="002A13D2" w:rsidRPr="002A13D2">
        <w:rPr>
          <w:iCs/>
        </w:rPr>
        <w:t>–</w:t>
      </w:r>
      <w:r w:rsidR="002A13D2">
        <w:rPr>
          <w:iCs/>
        </w:rPr>
        <w:t>20</w:t>
      </w:r>
      <w:r w:rsidR="0019573B" w:rsidRPr="00CB687E">
        <w:rPr>
          <w:iCs/>
        </w:rPr>
        <w:t xml:space="preserve">25 cybersecurity expenditures, including </w:t>
      </w:r>
      <w:r w:rsidR="003B2348" w:rsidRPr="00CB687E">
        <w:rPr>
          <w:iCs/>
        </w:rPr>
        <w:t>for HRLSC’s</w:t>
      </w:r>
      <w:r w:rsidR="0019573B" w:rsidRPr="00CB687E">
        <w:rPr>
          <w:iCs/>
        </w:rPr>
        <w:t xml:space="preserve"> cybersecurity IT expert, which will enable the HRLSC to continue identifying and addressing security measures to keep its systems secure.</w:t>
      </w:r>
    </w:p>
    <w:p w14:paraId="7386951B" w14:textId="6AD9AE07" w:rsidR="002A5EC1" w:rsidRPr="00CB687E" w:rsidRDefault="002A5EC1" w:rsidP="002A5EC1">
      <w:r w:rsidRPr="00CB687E">
        <w:t xml:space="preserve">HRLSC staff will be required to complete mandatory updated </w:t>
      </w:r>
      <w:r w:rsidR="00CD0F94">
        <w:t>c</w:t>
      </w:r>
      <w:r w:rsidRPr="00CB687E">
        <w:t xml:space="preserve">ybersecurity </w:t>
      </w:r>
      <w:r w:rsidR="00CD0F94">
        <w:t>t</w:t>
      </w:r>
      <w:r w:rsidRPr="00CB687E">
        <w:t>raining modules</w:t>
      </w:r>
      <w:r w:rsidR="003B2348" w:rsidRPr="00CB687E">
        <w:t xml:space="preserve"> in the coming year</w:t>
      </w:r>
      <w:r w:rsidRPr="00CB687E">
        <w:t xml:space="preserve">, which will reinforce </w:t>
      </w:r>
      <w:r w:rsidR="003B2348" w:rsidRPr="00CB687E">
        <w:t>compliance with</w:t>
      </w:r>
      <w:r w:rsidRPr="00CB687E">
        <w:t xml:space="preserve"> </w:t>
      </w:r>
      <w:r w:rsidR="003B2348" w:rsidRPr="00CB687E">
        <w:t xml:space="preserve">HRLSC’s new </w:t>
      </w:r>
      <w:r w:rsidRPr="00CB687E">
        <w:t xml:space="preserve">IT </w:t>
      </w:r>
      <w:r w:rsidR="003B2348" w:rsidRPr="00CB687E">
        <w:t xml:space="preserve">and AI </w:t>
      </w:r>
      <w:r w:rsidRPr="00CB687E">
        <w:t>polic</w:t>
      </w:r>
      <w:r w:rsidR="003B2348" w:rsidRPr="00CB687E">
        <w:t>ies</w:t>
      </w:r>
      <w:r w:rsidRPr="00CB687E">
        <w:t>.</w:t>
      </w:r>
    </w:p>
    <w:p w14:paraId="64D7C1DC" w14:textId="7C9D27A2" w:rsidR="000C779F" w:rsidRPr="00CB687E" w:rsidRDefault="000C779F" w:rsidP="00140CC9">
      <w:pPr>
        <w:rPr>
          <w:iCs/>
        </w:rPr>
      </w:pPr>
      <w:r w:rsidRPr="00CB687E">
        <w:br w:type="page"/>
      </w:r>
    </w:p>
    <w:p w14:paraId="3DFD7D69" w14:textId="04119A14" w:rsidR="000C779F" w:rsidRPr="00CB687E" w:rsidRDefault="000C779F" w:rsidP="00D35098">
      <w:pPr>
        <w:pStyle w:val="Heading1"/>
        <w:numPr>
          <w:ilvl w:val="0"/>
          <w:numId w:val="13"/>
        </w:numPr>
      </w:pPr>
      <w:bookmarkStart w:id="135" w:name="_Toc204090320"/>
      <w:r w:rsidRPr="00CB687E">
        <w:lastRenderedPageBreak/>
        <w:t>HR Impact</w:t>
      </w:r>
      <w:bookmarkEnd w:id="135"/>
      <w:r w:rsidR="00FF7F15" w:rsidRPr="00CB687E">
        <w:t xml:space="preserve"> </w:t>
      </w:r>
    </w:p>
    <w:p w14:paraId="400C1BA7" w14:textId="3BF625E6" w:rsidR="00CB7EFA" w:rsidRPr="00CB687E" w:rsidRDefault="00690A53" w:rsidP="00690A53">
      <w:pPr>
        <w:shd w:val="clear" w:color="auto" w:fill="FFFFFF" w:themeFill="background1"/>
        <w:spacing w:before="240" w:line="259" w:lineRule="auto"/>
      </w:pPr>
      <w:r w:rsidRPr="00CB687E">
        <w:t>During the 2024</w:t>
      </w:r>
      <w:r w:rsidR="00832539" w:rsidRPr="00832539">
        <w:t>–</w:t>
      </w:r>
      <w:r w:rsidRPr="00CB687E">
        <w:t xml:space="preserve">2025 fiscal year, the HRLSC continued to experience significant challenges with financial sustainability which continued to negatively impact staff recruitment and retention leading to significant and consistent high staff turnover. </w:t>
      </w:r>
    </w:p>
    <w:p w14:paraId="4CC881FA" w14:textId="3E224911" w:rsidR="00690A53" w:rsidRPr="00CB687E" w:rsidRDefault="00690A53" w:rsidP="00690A53">
      <w:pPr>
        <w:shd w:val="clear" w:color="auto" w:fill="FFFFFF" w:themeFill="background1"/>
        <w:spacing w:before="240" w:line="259" w:lineRule="auto"/>
      </w:pPr>
      <w:r w:rsidRPr="00CB687E">
        <w:t>In response</w:t>
      </w:r>
      <w:r w:rsidR="00431271" w:rsidRPr="00CB687E">
        <w:t xml:space="preserve"> to financial challenges,</w:t>
      </w:r>
      <w:r w:rsidRPr="00CB687E">
        <w:t xml:space="preserve"> </w:t>
      </w:r>
      <w:r w:rsidR="00431271" w:rsidRPr="00CB687E">
        <w:t xml:space="preserve">and related efforts to manage operational funding and workforce size prudently, the </w:t>
      </w:r>
      <w:r w:rsidRPr="00CB687E">
        <w:t xml:space="preserve">HRLSC was forced to leave positions vacant during the year. This resulted in our inability to maintain our full </w:t>
      </w:r>
      <w:r w:rsidR="00CB7EFA" w:rsidRPr="00CB687E">
        <w:t xml:space="preserve">FTE </w:t>
      </w:r>
      <w:r w:rsidRPr="00CB687E">
        <w:t xml:space="preserve">staff </w:t>
      </w:r>
      <w:r w:rsidR="005378D5" w:rsidRPr="00CB687E">
        <w:t>complement and</w:t>
      </w:r>
      <w:r w:rsidRPr="00CB687E">
        <w:t xml:space="preserve"> particularly impacted on our in-depth legal service </w:t>
      </w:r>
      <w:r w:rsidR="00CB7EFA" w:rsidRPr="00CB687E">
        <w:t>capacity</w:t>
      </w:r>
      <w:r w:rsidR="00431271" w:rsidRPr="00CB687E">
        <w:t xml:space="preserve"> this past year</w:t>
      </w:r>
      <w:r w:rsidRPr="00CB687E">
        <w:t>.</w:t>
      </w:r>
    </w:p>
    <w:p w14:paraId="2F0ACC7D" w14:textId="1E31E75F" w:rsidR="00CB7EFA" w:rsidRPr="00CB687E" w:rsidRDefault="00690A53" w:rsidP="00CB7EFA">
      <w:pPr>
        <w:shd w:val="clear" w:color="auto" w:fill="FFFFFF" w:themeFill="background1"/>
        <w:spacing w:before="240" w:line="259" w:lineRule="auto"/>
      </w:pPr>
      <w:r w:rsidRPr="00CB687E">
        <w:t xml:space="preserve">As part of HRLSC’s new Strategic Plan, </w:t>
      </w:r>
      <w:r w:rsidR="0061483D" w:rsidRPr="00CB687E">
        <w:t xml:space="preserve">the Centre </w:t>
      </w:r>
      <w:r w:rsidRPr="00CB687E">
        <w:t xml:space="preserve">continued its concerted efforts to actively seek to increase and diversify its funding to ensure future capacity to hire and retain critical staff positions to </w:t>
      </w:r>
      <w:r w:rsidR="00431271" w:rsidRPr="00CB687E">
        <w:t xml:space="preserve">support legal service delivery in </w:t>
      </w:r>
      <w:r w:rsidRPr="00CB687E">
        <w:t xml:space="preserve">fulfillment of </w:t>
      </w:r>
      <w:r w:rsidR="00431271" w:rsidRPr="00CB687E">
        <w:t xml:space="preserve">HRLSC’s </w:t>
      </w:r>
      <w:r w:rsidRPr="00CB687E">
        <w:t xml:space="preserve">statutory mandate. </w:t>
      </w:r>
      <w:r w:rsidR="00CB7EFA" w:rsidRPr="00CB687E">
        <w:t>During the 2024</w:t>
      </w:r>
      <w:r w:rsidR="004747D8" w:rsidRPr="004747D8">
        <w:t>–</w:t>
      </w:r>
      <w:r w:rsidR="00CB7EFA" w:rsidRPr="00CB687E">
        <w:t xml:space="preserve">2025 fiscal period, the HRLSC awaited a decision on the status of its emergency business case and long-term sustainability funding request to MAG and the Treasury Board Secretariat (TBS) that would enable HRLSC to maintain its current staff numbers. In addition to working with government partners, the HRLSC also looked to secure funding through grant proposals, including its successful application to the Law Foundation of Ontario (LFO). </w:t>
      </w:r>
      <w:r w:rsidR="00864894">
        <w:t xml:space="preserve">The </w:t>
      </w:r>
      <w:r w:rsidR="00CB7EFA" w:rsidRPr="00CB687E">
        <w:t>HRLSC anticipates that such funding opportunities may positively impact its workforce complement in the next fiscal year to address increasing service demand.</w:t>
      </w:r>
    </w:p>
    <w:p w14:paraId="523813E0" w14:textId="7F9CC8DA" w:rsidR="00BA5132" w:rsidRPr="00CB687E" w:rsidRDefault="00864894" w:rsidP="00CB7EFA">
      <w:pPr>
        <w:shd w:val="clear" w:color="auto" w:fill="FFFFFF" w:themeFill="background1"/>
        <w:spacing w:before="240" w:line="259" w:lineRule="auto"/>
      </w:pPr>
      <w:r>
        <w:t xml:space="preserve">The </w:t>
      </w:r>
      <w:r w:rsidR="00BA5132" w:rsidRPr="00CB687E">
        <w:t>HRLSC continued to ensure it had Indigenous and Francophone staff at every level of service to support culturally and linguistically competent service delivery.</w:t>
      </w:r>
    </w:p>
    <w:p w14:paraId="06B110D4" w14:textId="2430B0C2" w:rsidR="00431271" w:rsidRPr="00CB687E" w:rsidRDefault="00431271" w:rsidP="00690A53">
      <w:pPr>
        <w:shd w:val="clear" w:color="auto" w:fill="FFFFFF" w:themeFill="background1"/>
        <w:spacing w:before="240" w:line="259" w:lineRule="auto"/>
        <w:rPr>
          <w:b/>
          <w:bCs/>
        </w:rPr>
      </w:pPr>
      <w:bookmarkStart w:id="136" w:name="_Hlk141193574"/>
      <w:r w:rsidRPr="00CB687E">
        <w:rPr>
          <w:b/>
          <w:bCs/>
        </w:rPr>
        <w:t>Workforce composition</w:t>
      </w:r>
    </w:p>
    <w:p w14:paraId="02B19767" w14:textId="5ACAFCAE" w:rsidR="00BA5132" w:rsidRPr="00CB687E" w:rsidRDefault="00690A53" w:rsidP="00CB7EFA">
      <w:pPr>
        <w:shd w:val="clear" w:color="auto" w:fill="FFFFFF" w:themeFill="background1"/>
        <w:spacing w:before="240" w:line="259" w:lineRule="auto"/>
      </w:pPr>
      <w:r w:rsidRPr="00CB687E">
        <w:t>HRLSC’s workforce size in 2024</w:t>
      </w:r>
      <w:r w:rsidR="00864894" w:rsidRPr="00864894">
        <w:t>–</w:t>
      </w:r>
      <w:r w:rsidRPr="00CB687E">
        <w:t>2025 was set at 49 FTEs</w:t>
      </w:r>
      <w:r w:rsidR="00CD2E7A" w:rsidRPr="00CB687E">
        <w:t xml:space="preserve">, with </w:t>
      </w:r>
      <w:r w:rsidR="00864894">
        <w:t>e</w:t>
      </w:r>
      <w:r w:rsidR="00864894" w:rsidRPr="00CB687E">
        <w:t xml:space="preserve">xecutives </w:t>
      </w:r>
      <w:r w:rsidR="00CD2E7A" w:rsidRPr="00CB687E">
        <w:t xml:space="preserve">and </w:t>
      </w:r>
      <w:r w:rsidR="00864894">
        <w:t>m</w:t>
      </w:r>
      <w:r w:rsidR="00CD2E7A" w:rsidRPr="00CB687E">
        <w:t xml:space="preserve">anagement </w:t>
      </w:r>
      <w:r w:rsidRPr="00CB687E">
        <w:t>remain</w:t>
      </w:r>
      <w:r w:rsidR="00CD2E7A" w:rsidRPr="00CB687E">
        <w:t>ing</w:t>
      </w:r>
      <w:r w:rsidRPr="00CB687E">
        <w:t xml:space="preserve"> steady during the 2024</w:t>
      </w:r>
      <w:r w:rsidR="00864894" w:rsidRPr="00864894">
        <w:t>–</w:t>
      </w:r>
      <w:r w:rsidRPr="00CB687E">
        <w:t>2025 fiscal year</w:t>
      </w:r>
      <w:r w:rsidR="00CB7EFA" w:rsidRPr="00CB687E">
        <w:t xml:space="preserve">. Overall staff size fluctuated over the year, as HRLSC was forced to leave staff positions vacant at times to </w:t>
      </w:r>
      <w:r w:rsidR="00BA5132" w:rsidRPr="00CB687E">
        <w:t>address</w:t>
      </w:r>
      <w:r w:rsidR="00CB7EFA" w:rsidRPr="00CB687E">
        <w:t xml:space="preserve"> sustainability concerns and ensure that priority areas set out in its strategic plan were supported</w:t>
      </w:r>
      <w:r w:rsidR="00BA5132" w:rsidRPr="00CB687E">
        <w:t>.</w:t>
      </w:r>
    </w:p>
    <w:p w14:paraId="24CF5097" w14:textId="7209EE3B" w:rsidR="00CB7EFA" w:rsidRPr="00CB687E" w:rsidRDefault="00CB7EFA" w:rsidP="00CB7EFA">
      <w:pPr>
        <w:shd w:val="clear" w:color="auto" w:fill="FFFFFF" w:themeFill="background1"/>
        <w:spacing w:before="240" w:line="259" w:lineRule="auto"/>
      </w:pPr>
      <w:r w:rsidRPr="00CB687E">
        <w:t xml:space="preserve">The HRLSC optimized its organizational capacity by developing clear organizational priorities, with its new strategic plan, which enabled it to rationalize and redeploy resources accordingly. </w:t>
      </w:r>
    </w:p>
    <w:p w14:paraId="42FAC399" w14:textId="68DDF89E" w:rsidR="00690A53" w:rsidRPr="00CB687E" w:rsidRDefault="00690A53" w:rsidP="00CD2E7A">
      <w:pPr>
        <w:shd w:val="clear" w:color="auto" w:fill="FFFFFF" w:themeFill="background1"/>
        <w:spacing w:before="240" w:line="259" w:lineRule="auto"/>
      </w:pPr>
      <w:r w:rsidRPr="00CB687E">
        <w:t>As part of its Strategic Plan priorities, HRLSC introduced two new FTEs in the 2024</w:t>
      </w:r>
      <w:r w:rsidR="006B450F" w:rsidRPr="006B450F">
        <w:t>–</w:t>
      </w:r>
      <w:r w:rsidRPr="00CB687E">
        <w:t>2025 fiscal year</w:t>
      </w:r>
      <w:r w:rsidR="00CD2E7A" w:rsidRPr="00CB687E">
        <w:t xml:space="preserve">, including to support data-informed, equity-centred service delivery, increase awareness </w:t>
      </w:r>
      <w:r w:rsidR="00FE410F" w:rsidRPr="00CB687E">
        <w:t xml:space="preserve">and use </w:t>
      </w:r>
      <w:r w:rsidR="00CD2E7A" w:rsidRPr="00CB687E">
        <w:t xml:space="preserve">of </w:t>
      </w:r>
      <w:r w:rsidR="006B450F">
        <w:t>the Centre’s</w:t>
      </w:r>
      <w:r w:rsidR="00CD2E7A" w:rsidRPr="00CB687E">
        <w:t xml:space="preserve"> services</w:t>
      </w:r>
      <w:r w:rsidR="00FE410F" w:rsidRPr="00CB687E">
        <w:t xml:space="preserve">, especially </w:t>
      </w:r>
      <w:r w:rsidR="00BA5132" w:rsidRPr="00CB687E">
        <w:t xml:space="preserve">within </w:t>
      </w:r>
      <w:r w:rsidR="00FE410F" w:rsidRPr="00CB687E">
        <w:t xml:space="preserve">marginalized </w:t>
      </w:r>
      <w:r w:rsidR="00FE410F" w:rsidRPr="00CB687E">
        <w:lastRenderedPageBreak/>
        <w:t>communities</w:t>
      </w:r>
      <w:r w:rsidR="00CD2E7A" w:rsidRPr="00CB687E">
        <w:t xml:space="preserve">, and to support resource-generation </w:t>
      </w:r>
      <w:r w:rsidR="00FE410F" w:rsidRPr="00CB687E">
        <w:t xml:space="preserve">and business-case development </w:t>
      </w:r>
      <w:r w:rsidR="00CD2E7A" w:rsidRPr="00CB687E">
        <w:t>efforts</w:t>
      </w:r>
      <w:r w:rsidR="00FE410F" w:rsidRPr="00CB687E">
        <w:t>, with an eye to supporting long-term sustainability. These included</w:t>
      </w:r>
      <w:r w:rsidRPr="00CB687E">
        <w:t xml:space="preserve"> a Manager of Communications, Outreach &amp; Education, and a Senior Policy, Research &amp; Strategic Advisor position. </w:t>
      </w:r>
    </w:p>
    <w:p w14:paraId="292EAE62" w14:textId="77777777" w:rsidR="00690A53" w:rsidRPr="00CB687E" w:rsidRDefault="00690A53" w:rsidP="00690A53">
      <w:pPr>
        <w:shd w:val="clear" w:color="auto" w:fill="FFFFFF" w:themeFill="background1"/>
        <w:spacing w:before="240" w:line="259" w:lineRule="auto"/>
        <w:rPr>
          <w:b/>
          <w:bCs/>
        </w:rPr>
      </w:pPr>
      <w:r w:rsidRPr="00CB687E">
        <w:rPr>
          <w:b/>
          <w:bCs/>
        </w:rPr>
        <w:t xml:space="preserve">Bargaining </w:t>
      </w:r>
    </w:p>
    <w:p w14:paraId="7EE4AB5B" w14:textId="635C6986" w:rsidR="00690A53" w:rsidRPr="00CB687E" w:rsidRDefault="00690A53" w:rsidP="00690A53">
      <w:pPr>
        <w:shd w:val="clear" w:color="auto" w:fill="FFFFFF" w:themeFill="background1"/>
        <w:spacing w:before="240" w:line="259" w:lineRule="auto"/>
      </w:pPr>
      <w:r w:rsidRPr="00CB687E">
        <w:t>In the Summer of 2024, the HRLSC and OPSEU ratified a Collective Agreement for the period covering January 1, 2022, to December 31, 2024, for its non-Lawyer bargaining unit. In October 2024, the C</w:t>
      </w:r>
      <w:r w:rsidR="006B450F">
        <w:t>entre</w:t>
      </w:r>
      <w:r w:rsidRPr="00CB687E">
        <w:t xml:space="preserve"> was served with a Notice to Bargain to initiate the collective bargaining process for a new Collective Agreement. The HRLSC anticipates negotiations for a renewed agreement to begin within the 2025</w:t>
      </w:r>
      <w:r w:rsidR="00D334B9" w:rsidRPr="00D334B9">
        <w:t>–</w:t>
      </w:r>
      <w:r w:rsidRPr="00CB687E">
        <w:t>2026 fiscal year.</w:t>
      </w:r>
    </w:p>
    <w:p w14:paraId="258EC662" w14:textId="37A78A18" w:rsidR="00690A53" w:rsidRPr="00CB687E" w:rsidRDefault="00690A53" w:rsidP="00690A53">
      <w:pPr>
        <w:shd w:val="clear" w:color="auto" w:fill="FFFFFF" w:themeFill="background1"/>
        <w:spacing w:before="240" w:line="259" w:lineRule="auto"/>
      </w:pPr>
      <w:r w:rsidRPr="00CB687E">
        <w:t>In March 2024, the HRLSC entered into a Voluntary Recognition and Framework Agreement with OPSEU who will now represent all non-management lawyers employed by the HRLSC. This development followed the latter’s filing of an Application for Certification in September 2023, at the Ontario Labour Relations Board</w:t>
      </w:r>
      <w:r w:rsidR="00FE410F" w:rsidRPr="00CB687E">
        <w:t>, and the HRLSC’s agreement to voluntarily recognize the new union in March 2024</w:t>
      </w:r>
      <w:r w:rsidRPr="00CB687E">
        <w:t xml:space="preserve">. The HRLSC commenced negotiations for </w:t>
      </w:r>
      <w:r w:rsidR="00F01DDA" w:rsidRPr="00CB687E">
        <w:t>the first</w:t>
      </w:r>
      <w:r w:rsidRPr="00CB687E">
        <w:t xml:space="preserve"> Collective Agreement for its non-management lawyers in February 2025.</w:t>
      </w:r>
    </w:p>
    <w:p w14:paraId="507044A2" w14:textId="16ED7990" w:rsidR="00BA5132" w:rsidRPr="00CB687E" w:rsidRDefault="00BA5132" w:rsidP="00690A53">
      <w:pPr>
        <w:shd w:val="clear" w:color="auto" w:fill="FFFFFF" w:themeFill="background1"/>
        <w:spacing w:before="240" w:line="259" w:lineRule="auto"/>
        <w:rPr>
          <w:b/>
          <w:bCs/>
        </w:rPr>
      </w:pPr>
      <w:r w:rsidRPr="00CB687E">
        <w:rPr>
          <w:b/>
          <w:bCs/>
        </w:rPr>
        <w:t>HR Policy &amp; Practice</w:t>
      </w:r>
    </w:p>
    <w:p w14:paraId="25C10024" w14:textId="4A576738" w:rsidR="009B5833" w:rsidRPr="00CB687E" w:rsidRDefault="00BA5132" w:rsidP="009B5833">
      <w:r w:rsidRPr="00CB687E">
        <w:t xml:space="preserve">HRLSC continued its job evaluation and compensation review, </w:t>
      </w:r>
      <w:r w:rsidR="00933774" w:rsidRPr="00CB687E">
        <w:t>developing and adopting</w:t>
      </w:r>
      <w:r w:rsidRPr="00CB687E">
        <w:t xml:space="preserve"> a new Board-approved Compensation Philosophy </w:t>
      </w:r>
      <w:r w:rsidR="00933774" w:rsidRPr="00CB687E">
        <w:t xml:space="preserve">in February 2025 </w:t>
      </w:r>
      <w:r w:rsidRPr="00CB687E">
        <w:t xml:space="preserve">that reaffirmed </w:t>
      </w:r>
      <w:bookmarkEnd w:id="136"/>
      <w:r w:rsidRPr="00CB687E">
        <w:t xml:space="preserve">HRLSC’s commitment to fairness, equity, and long-term sustainability. </w:t>
      </w:r>
      <w:r w:rsidR="009B5833" w:rsidRPr="00CB687E">
        <w:t xml:space="preserve">Recognizing the critical importance of recruiting and retaining talented staff, </w:t>
      </w:r>
      <w:r w:rsidR="00933774" w:rsidRPr="00CB687E">
        <w:t xml:space="preserve">in keeping with the HRLSC’s strategic commitment to being an employer of choice, </w:t>
      </w:r>
      <w:r w:rsidR="009B5833" w:rsidRPr="00CB687E">
        <w:t xml:space="preserve">this philosophy sets out the HRLSC’s compensation goals and aspirations to help inform the HRLSC’s overall approach and a principled methodology to compensation for all occupational groups. </w:t>
      </w:r>
    </w:p>
    <w:p w14:paraId="6552D8B6" w14:textId="5C9A9227" w:rsidR="00BA5132" w:rsidRPr="00CB687E" w:rsidRDefault="00BA5132" w:rsidP="00BA5132">
      <w:pPr>
        <w:shd w:val="clear" w:color="auto" w:fill="FFFFFF" w:themeFill="background1"/>
        <w:spacing w:before="240" w:line="259" w:lineRule="auto"/>
      </w:pPr>
      <w:r w:rsidRPr="00CB687E">
        <w:t>HRLSC also continued to analyze compensation disparities and submitted robust funding proposals to MAG and TBS to address these challenges.</w:t>
      </w:r>
    </w:p>
    <w:p w14:paraId="5EB3C2D1" w14:textId="5F00BA46" w:rsidR="001E2278" w:rsidRPr="00CB687E" w:rsidRDefault="00933774" w:rsidP="00BA5132">
      <w:pPr>
        <w:shd w:val="clear" w:color="auto" w:fill="FFFFFF" w:themeFill="background1"/>
        <w:spacing w:before="240" w:line="259" w:lineRule="auto"/>
      </w:pPr>
      <w:r w:rsidRPr="00CB687E">
        <w:t xml:space="preserve">Finally, </w:t>
      </w:r>
      <w:r w:rsidR="00BA5132" w:rsidRPr="00CB687E">
        <w:t xml:space="preserve">HRLSC continued to review its Human Resources and Accommodation strategies to ensure alignment with the OPS and policies. </w:t>
      </w:r>
    </w:p>
    <w:p w14:paraId="39F6FE8D" w14:textId="77777777" w:rsidR="001E2278" w:rsidRPr="00CB687E" w:rsidRDefault="001E2278">
      <w:r w:rsidRPr="00CB687E">
        <w:br w:type="page"/>
      </w:r>
    </w:p>
    <w:p w14:paraId="254D7AF1" w14:textId="6C0AA145" w:rsidR="000C779F" w:rsidRPr="00CB687E" w:rsidRDefault="000C779F" w:rsidP="00D35098">
      <w:pPr>
        <w:pStyle w:val="Heading1"/>
        <w:numPr>
          <w:ilvl w:val="0"/>
          <w:numId w:val="13"/>
        </w:numPr>
      </w:pPr>
      <w:bookmarkStart w:id="137" w:name="_Toc204090321"/>
      <w:r w:rsidRPr="00CB687E">
        <w:lastRenderedPageBreak/>
        <w:t>Financial Analysis</w:t>
      </w:r>
      <w:bookmarkEnd w:id="137"/>
      <w:r w:rsidR="00FF7F15" w:rsidRPr="00CB687E">
        <w:t xml:space="preserve"> </w:t>
      </w:r>
    </w:p>
    <w:p w14:paraId="077889B0" w14:textId="1A12EA3A" w:rsidR="00F56276" w:rsidRPr="00E106DF" w:rsidRDefault="002B2C89" w:rsidP="001C5C50">
      <w:pPr>
        <w:pStyle w:val="Heading2"/>
      </w:pPr>
      <w:bookmarkStart w:id="138" w:name="_Toc204090322"/>
      <w:r w:rsidRPr="00CB687E">
        <w:t>2024</w:t>
      </w:r>
      <w:r w:rsidR="009B65A0" w:rsidRPr="009B65A0">
        <w:t>–</w:t>
      </w:r>
      <w:r w:rsidRPr="00CB687E">
        <w:t>2025 Budget vs Actuals</w:t>
      </w:r>
      <w:bookmarkEnd w:id="138"/>
      <w:r w:rsidRPr="00CB687E">
        <w:t xml:space="preserve"> </w:t>
      </w:r>
    </w:p>
    <w:tbl>
      <w:tblPr>
        <w:tblStyle w:val="PlainTable51"/>
        <w:tblW w:w="9318" w:type="dxa"/>
        <w:tblInd w:w="0" w:type="dxa"/>
        <w:tblLayout w:type="fixed"/>
        <w:tblLook w:val="0720" w:firstRow="1" w:lastRow="0" w:firstColumn="0" w:lastColumn="1" w:noHBand="1" w:noVBand="1"/>
      </w:tblPr>
      <w:tblGrid>
        <w:gridCol w:w="2190"/>
        <w:gridCol w:w="2908"/>
        <w:gridCol w:w="2699"/>
        <w:gridCol w:w="1521"/>
      </w:tblGrid>
      <w:tr w:rsidR="00827ACE" w:rsidRPr="00CB687E" w14:paraId="0A801B85" w14:textId="77777777" w:rsidTr="008D1482">
        <w:trPr>
          <w:cnfStyle w:val="100000000000" w:firstRow="1" w:lastRow="0" w:firstColumn="0" w:lastColumn="0" w:oddVBand="0" w:evenVBand="0" w:oddHBand="0" w:evenHBand="0" w:firstRowFirstColumn="0" w:firstRowLastColumn="0" w:lastRowFirstColumn="0" w:lastRowLastColumn="0"/>
          <w:trHeight w:val="567"/>
        </w:trPr>
        <w:tc>
          <w:tcPr>
            <w:tcW w:w="2190" w:type="dxa"/>
            <w:tcBorders>
              <w:top w:val="single" w:sz="4" w:space="0" w:color="auto"/>
              <w:left w:val="single" w:sz="4" w:space="0" w:color="auto"/>
              <w:bottom w:val="single" w:sz="48" w:space="0" w:color="auto"/>
              <w:right w:val="single" w:sz="4" w:space="0" w:color="auto"/>
            </w:tcBorders>
            <w:shd w:val="clear" w:color="auto" w:fill="E8E8E8" w:themeFill="background2"/>
            <w:vAlign w:val="center"/>
            <w:hideMark/>
          </w:tcPr>
          <w:p w14:paraId="49728250" w14:textId="77777777" w:rsidR="00827ACE" w:rsidRPr="00E106DF" w:rsidRDefault="00827ACE" w:rsidP="00E106DF">
            <w:pPr>
              <w:keepNext/>
              <w:keepLines/>
              <w:spacing w:before="40"/>
              <w:outlineLvl w:val="3"/>
              <w:rPr>
                <w:rFonts w:cs="Tahoma"/>
                <w:b/>
                <w:i w:val="0"/>
                <w:iCs w:val="0"/>
                <w:color w:val="000000"/>
                <w:sz w:val="24"/>
                <w:szCs w:val="24"/>
              </w:rPr>
            </w:pPr>
            <w:r w:rsidRPr="00E106DF">
              <w:rPr>
                <w:rFonts w:cs="Tahoma"/>
                <w:b/>
                <w:i w:val="0"/>
                <w:iCs w:val="0"/>
                <w:color w:val="000000"/>
                <w:sz w:val="24"/>
                <w:szCs w:val="24"/>
              </w:rPr>
              <w:t>Expense</w:t>
            </w:r>
          </w:p>
        </w:tc>
        <w:tc>
          <w:tcPr>
            <w:tcW w:w="2908" w:type="dxa"/>
            <w:tcBorders>
              <w:top w:val="single" w:sz="4" w:space="0" w:color="auto"/>
              <w:left w:val="single" w:sz="4" w:space="0" w:color="auto"/>
              <w:bottom w:val="single" w:sz="48" w:space="0" w:color="auto"/>
              <w:right w:val="single" w:sz="4" w:space="0" w:color="auto"/>
            </w:tcBorders>
            <w:shd w:val="clear" w:color="auto" w:fill="E8E8E8" w:themeFill="background2"/>
            <w:vAlign w:val="center"/>
          </w:tcPr>
          <w:p w14:paraId="57B2AA61" w14:textId="67F76385" w:rsidR="00827ACE" w:rsidRPr="00E106DF" w:rsidRDefault="00827ACE" w:rsidP="00E106DF">
            <w:pPr>
              <w:keepNext/>
              <w:keepLines/>
              <w:spacing w:before="40"/>
              <w:outlineLvl w:val="3"/>
              <w:rPr>
                <w:rFonts w:cs="Tahoma"/>
                <w:b/>
                <w:i w:val="0"/>
                <w:iCs w:val="0"/>
                <w:color w:val="000000"/>
                <w:sz w:val="24"/>
                <w:szCs w:val="24"/>
              </w:rPr>
            </w:pPr>
            <w:r w:rsidRPr="00E106DF">
              <w:rPr>
                <w:rFonts w:cs="Tahoma"/>
                <w:b/>
                <w:i w:val="0"/>
                <w:iCs w:val="0"/>
                <w:color w:val="000000"/>
                <w:sz w:val="24"/>
                <w:szCs w:val="24"/>
              </w:rPr>
              <w:t>2024</w:t>
            </w:r>
            <w:r w:rsidR="009B65A0" w:rsidRPr="009B65A0">
              <w:rPr>
                <w:rFonts w:cs="Tahoma"/>
                <w:b/>
                <w:i w:val="0"/>
                <w:iCs w:val="0"/>
                <w:color w:val="000000"/>
                <w:sz w:val="24"/>
                <w:szCs w:val="24"/>
              </w:rPr>
              <w:t>–</w:t>
            </w:r>
            <w:r w:rsidR="009B65A0">
              <w:rPr>
                <w:rFonts w:cs="Tahoma"/>
                <w:b/>
                <w:i w:val="0"/>
                <w:iCs w:val="0"/>
                <w:color w:val="000000"/>
                <w:sz w:val="24"/>
                <w:szCs w:val="24"/>
              </w:rPr>
              <w:t>20</w:t>
            </w:r>
            <w:r w:rsidRPr="00E106DF">
              <w:rPr>
                <w:rFonts w:cs="Tahoma"/>
                <w:b/>
                <w:i w:val="0"/>
                <w:iCs w:val="0"/>
                <w:color w:val="000000"/>
                <w:sz w:val="24"/>
                <w:szCs w:val="24"/>
              </w:rPr>
              <w:t>25 Budget</w:t>
            </w:r>
          </w:p>
        </w:tc>
        <w:tc>
          <w:tcPr>
            <w:tcW w:w="2699" w:type="dxa"/>
            <w:tcBorders>
              <w:top w:val="single" w:sz="4" w:space="0" w:color="auto"/>
              <w:left w:val="single" w:sz="4" w:space="0" w:color="auto"/>
              <w:bottom w:val="single" w:sz="48" w:space="0" w:color="auto"/>
              <w:right w:val="single" w:sz="4" w:space="0" w:color="auto"/>
            </w:tcBorders>
            <w:shd w:val="clear" w:color="auto" w:fill="E8E8E8" w:themeFill="background2"/>
            <w:vAlign w:val="center"/>
          </w:tcPr>
          <w:p w14:paraId="4CB5CE5E" w14:textId="3E15E85D" w:rsidR="0002019C" w:rsidRPr="00E106DF" w:rsidRDefault="00827ACE" w:rsidP="00E106DF">
            <w:pPr>
              <w:keepNext/>
              <w:keepLines/>
              <w:spacing w:before="40"/>
              <w:outlineLvl w:val="3"/>
              <w:rPr>
                <w:rFonts w:cs="Tahoma"/>
                <w:b/>
                <w:i w:val="0"/>
                <w:iCs w:val="0"/>
                <w:color w:val="000000"/>
                <w:sz w:val="24"/>
                <w:szCs w:val="24"/>
              </w:rPr>
            </w:pPr>
            <w:r w:rsidRPr="00E106DF">
              <w:rPr>
                <w:rFonts w:cs="Tahoma"/>
                <w:b/>
                <w:i w:val="0"/>
                <w:iCs w:val="0"/>
                <w:color w:val="000000"/>
                <w:sz w:val="24"/>
                <w:szCs w:val="24"/>
              </w:rPr>
              <w:t>2024</w:t>
            </w:r>
            <w:r w:rsidR="009B65A0" w:rsidRPr="009B65A0">
              <w:rPr>
                <w:rFonts w:cs="Tahoma"/>
                <w:b/>
                <w:i w:val="0"/>
                <w:iCs w:val="0"/>
                <w:color w:val="000000"/>
                <w:sz w:val="24"/>
                <w:szCs w:val="24"/>
              </w:rPr>
              <w:t>–</w:t>
            </w:r>
            <w:r w:rsidRPr="00E106DF">
              <w:rPr>
                <w:rFonts w:cs="Tahoma"/>
                <w:b/>
                <w:i w:val="0"/>
                <w:iCs w:val="0"/>
                <w:color w:val="000000"/>
                <w:sz w:val="24"/>
                <w:szCs w:val="24"/>
              </w:rPr>
              <w:t>202</w:t>
            </w:r>
            <w:r w:rsidR="0002019C" w:rsidRPr="00E106DF">
              <w:rPr>
                <w:rFonts w:cs="Tahoma"/>
                <w:b/>
                <w:i w:val="0"/>
                <w:iCs w:val="0"/>
                <w:color w:val="000000"/>
                <w:sz w:val="24"/>
                <w:szCs w:val="24"/>
              </w:rPr>
              <w:t>5</w:t>
            </w:r>
            <w:r w:rsidR="008E081A" w:rsidRPr="00E106DF">
              <w:rPr>
                <w:rFonts w:cs="Tahoma"/>
                <w:b/>
                <w:i w:val="0"/>
                <w:iCs w:val="0"/>
                <w:color w:val="000000"/>
                <w:sz w:val="24"/>
                <w:szCs w:val="24"/>
              </w:rPr>
              <w:t xml:space="preserve"> </w:t>
            </w:r>
            <w:r w:rsidR="0002019C" w:rsidRPr="00E106DF">
              <w:rPr>
                <w:rFonts w:cs="Tahoma"/>
                <w:b/>
                <w:i w:val="0"/>
                <w:iCs w:val="0"/>
                <w:color w:val="000000"/>
                <w:sz w:val="24"/>
                <w:szCs w:val="24"/>
              </w:rPr>
              <w:t>Actuals</w:t>
            </w:r>
          </w:p>
        </w:tc>
        <w:tc>
          <w:tcPr>
            <w:cnfStyle w:val="000100001000" w:firstRow="0" w:lastRow="0" w:firstColumn="0" w:lastColumn="1" w:oddVBand="0" w:evenVBand="0" w:oddHBand="0" w:evenHBand="0" w:firstRowFirstColumn="0" w:firstRowLastColumn="1" w:lastRowFirstColumn="0" w:lastRowLastColumn="0"/>
            <w:tcW w:w="1521" w:type="dxa"/>
            <w:tcBorders>
              <w:top w:val="single" w:sz="4" w:space="0" w:color="auto"/>
              <w:left w:val="single" w:sz="4" w:space="0" w:color="auto"/>
              <w:bottom w:val="single" w:sz="48" w:space="0" w:color="auto"/>
              <w:right w:val="single" w:sz="4" w:space="0" w:color="auto"/>
            </w:tcBorders>
            <w:shd w:val="clear" w:color="auto" w:fill="E8E8E8" w:themeFill="background2"/>
            <w:vAlign w:val="center"/>
          </w:tcPr>
          <w:p w14:paraId="7C3F334F" w14:textId="7977B988" w:rsidR="00827ACE" w:rsidRPr="00E106DF" w:rsidRDefault="00827ACE" w:rsidP="00E106DF">
            <w:pPr>
              <w:keepNext/>
              <w:keepLines/>
              <w:spacing w:before="40"/>
              <w:outlineLvl w:val="3"/>
              <w:rPr>
                <w:rFonts w:cs="Tahoma"/>
                <w:b/>
                <w:i w:val="0"/>
                <w:iCs w:val="0"/>
                <w:color w:val="000000"/>
                <w:sz w:val="24"/>
                <w:szCs w:val="24"/>
              </w:rPr>
            </w:pPr>
            <w:r w:rsidRPr="00E106DF">
              <w:rPr>
                <w:rFonts w:cs="Tahoma"/>
                <w:b/>
                <w:i w:val="0"/>
                <w:iCs w:val="0"/>
                <w:color w:val="000000"/>
                <w:sz w:val="24"/>
                <w:szCs w:val="24"/>
              </w:rPr>
              <w:t>Variance</w:t>
            </w:r>
          </w:p>
        </w:tc>
      </w:tr>
      <w:tr w:rsidR="00827ACE" w:rsidRPr="00CB687E" w14:paraId="42B4E11E" w14:textId="77777777" w:rsidTr="001C5C50">
        <w:trPr>
          <w:trHeight w:val="567"/>
        </w:trPr>
        <w:tc>
          <w:tcPr>
            <w:tcW w:w="2190" w:type="dxa"/>
            <w:tcBorders>
              <w:top w:val="single" w:sz="48" w:space="0" w:color="auto"/>
              <w:bottom w:val="single" w:sz="4" w:space="0" w:color="auto"/>
              <w:right w:val="single" w:sz="24" w:space="0" w:color="auto"/>
            </w:tcBorders>
            <w:vAlign w:val="center"/>
            <w:hideMark/>
          </w:tcPr>
          <w:p w14:paraId="28E8848C" w14:textId="338F951B" w:rsidR="00827ACE" w:rsidRPr="00E106DF" w:rsidRDefault="00827ACE" w:rsidP="00E106DF">
            <w:pPr>
              <w:rPr>
                <w:rFonts w:cs="Tahoma"/>
                <w:sz w:val="24"/>
                <w:szCs w:val="24"/>
              </w:rPr>
            </w:pPr>
            <w:r w:rsidRPr="00E106DF">
              <w:rPr>
                <w:rFonts w:cs="Tahoma"/>
                <w:sz w:val="24"/>
                <w:szCs w:val="24"/>
              </w:rPr>
              <w:t xml:space="preserve">Salaries </w:t>
            </w:r>
          </w:p>
        </w:tc>
        <w:tc>
          <w:tcPr>
            <w:tcW w:w="2908" w:type="dxa"/>
            <w:tcBorders>
              <w:top w:val="single" w:sz="48" w:space="0" w:color="auto"/>
              <w:left w:val="single" w:sz="24" w:space="0" w:color="auto"/>
              <w:bottom w:val="single" w:sz="4" w:space="0" w:color="auto"/>
              <w:right w:val="single" w:sz="4" w:space="0" w:color="auto"/>
            </w:tcBorders>
            <w:vAlign w:val="center"/>
          </w:tcPr>
          <w:p w14:paraId="4CAAAF6A" w14:textId="779F3CC4" w:rsidR="00827ACE" w:rsidRPr="00E106DF" w:rsidRDefault="00827ACE" w:rsidP="00E106DF">
            <w:pPr>
              <w:rPr>
                <w:rFonts w:cs="Tahoma"/>
                <w:sz w:val="24"/>
                <w:szCs w:val="24"/>
              </w:rPr>
            </w:pPr>
            <w:r w:rsidRPr="00E106DF">
              <w:rPr>
                <w:rFonts w:cs="Tahoma"/>
                <w:sz w:val="24"/>
                <w:szCs w:val="24"/>
              </w:rPr>
              <w:t>$4,051,146</w:t>
            </w:r>
          </w:p>
        </w:tc>
        <w:tc>
          <w:tcPr>
            <w:tcW w:w="2699" w:type="dxa"/>
            <w:tcBorders>
              <w:top w:val="single" w:sz="48" w:space="0" w:color="auto"/>
              <w:left w:val="single" w:sz="4" w:space="0" w:color="auto"/>
              <w:bottom w:val="single" w:sz="4" w:space="0" w:color="auto"/>
            </w:tcBorders>
            <w:vAlign w:val="center"/>
          </w:tcPr>
          <w:p w14:paraId="5F8DA57C" w14:textId="42F6CCCE" w:rsidR="00827ACE" w:rsidRPr="00E106DF" w:rsidRDefault="0002019C" w:rsidP="00E106DF">
            <w:pPr>
              <w:rPr>
                <w:rFonts w:cs="Tahoma"/>
                <w:sz w:val="24"/>
                <w:szCs w:val="24"/>
              </w:rPr>
            </w:pPr>
            <w:r w:rsidRPr="00E106DF">
              <w:rPr>
                <w:rFonts w:cs="Tahoma"/>
                <w:sz w:val="24"/>
                <w:szCs w:val="24"/>
              </w:rPr>
              <w:t>$3,763,044</w:t>
            </w:r>
          </w:p>
        </w:tc>
        <w:tc>
          <w:tcPr>
            <w:cnfStyle w:val="000100000000" w:firstRow="0" w:lastRow="0" w:firstColumn="0" w:lastColumn="1" w:oddVBand="0" w:evenVBand="0" w:oddHBand="0" w:evenHBand="0" w:firstRowFirstColumn="0" w:firstRowLastColumn="0" w:lastRowFirstColumn="0" w:lastRowLastColumn="0"/>
            <w:tcW w:w="1521" w:type="dxa"/>
            <w:tcBorders>
              <w:top w:val="single" w:sz="48" w:space="0" w:color="auto"/>
              <w:bottom w:val="single" w:sz="4" w:space="0" w:color="auto"/>
              <w:right w:val="single" w:sz="4" w:space="0" w:color="auto"/>
            </w:tcBorders>
            <w:vAlign w:val="center"/>
          </w:tcPr>
          <w:p w14:paraId="3904949B" w14:textId="5283E888" w:rsidR="00827ACE" w:rsidRPr="00E106DF" w:rsidRDefault="00827ACE" w:rsidP="00E106DF">
            <w:pPr>
              <w:rPr>
                <w:rFonts w:cs="Tahoma"/>
                <w:sz w:val="24"/>
                <w:szCs w:val="24"/>
              </w:rPr>
            </w:pPr>
            <w:r w:rsidRPr="00E106DF">
              <w:rPr>
                <w:rFonts w:cs="Tahoma"/>
                <w:sz w:val="24"/>
                <w:szCs w:val="24"/>
              </w:rPr>
              <w:t xml:space="preserve">$288,102 </w:t>
            </w:r>
          </w:p>
        </w:tc>
      </w:tr>
      <w:tr w:rsidR="00827ACE" w:rsidRPr="00CB687E" w14:paraId="7B760777" w14:textId="77777777" w:rsidTr="001C5C50">
        <w:trPr>
          <w:trHeight w:val="567"/>
        </w:trPr>
        <w:tc>
          <w:tcPr>
            <w:tcW w:w="2190" w:type="dxa"/>
            <w:tcBorders>
              <w:top w:val="single" w:sz="4" w:space="0" w:color="auto"/>
              <w:bottom w:val="single" w:sz="4" w:space="0" w:color="auto"/>
              <w:right w:val="single" w:sz="24" w:space="0" w:color="auto"/>
            </w:tcBorders>
            <w:vAlign w:val="center"/>
          </w:tcPr>
          <w:p w14:paraId="4A12C7F8" w14:textId="62EFD8C6" w:rsidR="00827ACE" w:rsidRPr="00E106DF" w:rsidRDefault="00827ACE" w:rsidP="00E106DF">
            <w:pPr>
              <w:rPr>
                <w:rFonts w:cs="Tahoma"/>
                <w:sz w:val="24"/>
                <w:szCs w:val="24"/>
              </w:rPr>
            </w:pPr>
            <w:r w:rsidRPr="00E106DF">
              <w:rPr>
                <w:rFonts w:cs="Tahoma"/>
                <w:sz w:val="24"/>
                <w:szCs w:val="24"/>
              </w:rPr>
              <w:t>Benefits</w:t>
            </w:r>
          </w:p>
        </w:tc>
        <w:tc>
          <w:tcPr>
            <w:tcW w:w="2908" w:type="dxa"/>
            <w:tcBorders>
              <w:top w:val="single" w:sz="4" w:space="0" w:color="auto"/>
              <w:left w:val="single" w:sz="24" w:space="0" w:color="auto"/>
              <w:bottom w:val="single" w:sz="4" w:space="0" w:color="auto"/>
              <w:right w:val="single" w:sz="4" w:space="0" w:color="auto"/>
            </w:tcBorders>
            <w:vAlign w:val="center"/>
          </w:tcPr>
          <w:p w14:paraId="4D8E55D3" w14:textId="1DD32B4C" w:rsidR="00827ACE" w:rsidRPr="00E106DF" w:rsidRDefault="00827ACE" w:rsidP="00E106DF">
            <w:pPr>
              <w:rPr>
                <w:rFonts w:cs="Tahoma"/>
                <w:sz w:val="24"/>
                <w:szCs w:val="24"/>
              </w:rPr>
            </w:pPr>
            <w:r w:rsidRPr="00E106DF">
              <w:rPr>
                <w:rFonts w:cs="Tahoma"/>
                <w:sz w:val="24"/>
                <w:szCs w:val="24"/>
              </w:rPr>
              <w:t>$888,116</w:t>
            </w:r>
          </w:p>
        </w:tc>
        <w:tc>
          <w:tcPr>
            <w:tcW w:w="2699" w:type="dxa"/>
            <w:tcBorders>
              <w:top w:val="single" w:sz="4" w:space="0" w:color="auto"/>
              <w:left w:val="single" w:sz="4" w:space="0" w:color="auto"/>
              <w:bottom w:val="single" w:sz="4" w:space="0" w:color="auto"/>
            </w:tcBorders>
            <w:vAlign w:val="center"/>
          </w:tcPr>
          <w:p w14:paraId="7851A073" w14:textId="38A73088" w:rsidR="00827ACE" w:rsidRPr="00E106DF" w:rsidRDefault="0002019C" w:rsidP="00E106DF">
            <w:pPr>
              <w:rPr>
                <w:rFonts w:cs="Tahoma"/>
                <w:sz w:val="24"/>
                <w:szCs w:val="24"/>
              </w:rPr>
            </w:pPr>
            <w:r w:rsidRPr="00E106DF">
              <w:rPr>
                <w:rFonts w:cs="Tahoma"/>
                <w:sz w:val="24"/>
                <w:szCs w:val="24"/>
              </w:rPr>
              <w:t>$852,054</w:t>
            </w:r>
          </w:p>
        </w:tc>
        <w:tc>
          <w:tcPr>
            <w:cnfStyle w:val="000100000000" w:firstRow="0" w:lastRow="0" w:firstColumn="0" w:lastColumn="1" w:oddVBand="0" w:evenVBand="0" w:oddHBand="0" w:evenHBand="0" w:firstRowFirstColumn="0" w:firstRowLastColumn="0" w:lastRowFirstColumn="0" w:lastRowLastColumn="0"/>
            <w:tcW w:w="1521" w:type="dxa"/>
            <w:tcBorders>
              <w:top w:val="single" w:sz="4" w:space="0" w:color="auto"/>
              <w:bottom w:val="single" w:sz="4" w:space="0" w:color="auto"/>
              <w:right w:val="single" w:sz="4" w:space="0" w:color="auto"/>
            </w:tcBorders>
            <w:vAlign w:val="center"/>
          </w:tcPr>
          <w:p w14:paraId="687F6C99" w14:textId="761D0634" w:rsidR="00827ACE" w:rsidRPr="00E106DF" w:rsidRDefault="00827ACE" w:rsidP="00E106DF">
            <w:pPr>
              <w:rPr>
                <w:rFonts w:cs="Tahoma"/>
                <w:sz w:val="24"/>
                <w:szCs w:val="24"/>
              </w:rPr>
            </w:pPr>
            <w:r w:rsidRPr="00E106DF">
              <w:rPr>
                <w:rFonts w:cs="Tahoma"/>
                <w:sz w:val="24"/>
                <w:szCs w:val="24"/>
              </w:rPr>
              <w:t xml:space="preserve">$36,062 </w:t>
            </w:r>
          </w:p>
        </w:tc>
      </w:tr>
      <w:tr w:rsidR="00827ACE" w:rsidRPr="00CB687E" w14:paraId="21788785" w14:textId="77777777" w:rsidTr="001C5C50">
        <w:trPr>
          <w:trHeight w:val="567"/>
        </w:trPr>
        <w:tc>
          <w:tcPr>
            <w:tcW w:w="2190" w:type="dxa"/>
            <w:tcBorders>
              <w:top w:val="single" w:sz="4" w:space="0" w:color="auto"/>
              <w:bottom w:val="single" w:sz="4" w:space="0" w:color="auto"/>
              <w:right w:val="single" w:sz="24" w:space="0" w:color="auto"/>
            </w:tcBorders>
            <w:vAlign w:val="center"/>
            <w:hideMark/>
          </w:tcPr>
          <w:p w14:paraId="302D0149" w14:textId="77777777" w:rsidR="00827ACE" w:rsidRPr="00E106DF" w:rsidRDefault="00827ACE" w:rsidP="00E106DF">
            <w:pPr>
              <w:rPr>
                <w:rFonts w:cs="Tahoma"/>
                <w:sz w:val="24"/>
                <w:szCs w:val="24"/>
              </w:rPr>
            </w:pPr>
            <w:r w:rsidRPr="00E106DF">
              <w:rPr>
                <w:rFonts w:cs="Tahoma"/>
                <w:sz w:val="24"/>
                <w:szCs w:val="24"/>
              </w:rPr>
              <w:t>Operating</w:t>
            </w:r>
          </w:p>
        </w:tc>
        <w:tc>
          <w:tcPr>
            <w:tcW w:w="2908" w:type="dxa"/>
            <w:tcBorders>
              <w:top w:val="single" w:sz="4" w:space="0" w:color="auto"/>
              <w:left w:val="single" w:sz="24" w:space="0" w:color="auto"/>
              <w:bottom w:val="single" w:sz="4" w:space="0" w:color="auto"/>
              <w:right w:val="single" w:sz="4" w:space="0" w:color="auto"/>
            </w:tcBorders>
            <w:vAlign w:val="center"/>
          </w:tcPr>
          <w:p w14:paraId="499708A3" w14:textId="1B090779" w:rsidR="00827ACE" w:rsidRPr="00E106DF" w:rsidRDefault="00827ACE" w:rsidP="00E106DF">
            <w:pPr>
              <w:rPr>
                <w:rFonts w:cs="Tahoma"/>
                <w:sz w:val="24"/>
                <w:szCs w:val="24"/>
              </w:rPr>
            </w:pPr>
            <w:r w:rsidRPr="00E106DF">
              <w:rPr>
                <w:rFonts w:cs="Tahoma"/>
                <w:sz w:val="24"/>
                <w:szCs w:val="24"/>
              </w:rPr>
              <w:t>$335,72</w:t>
            </w:r>
          </w:p>
        </w:tc>
        <w:tc>
          <w:tcPr>
            <w:tcW w:w="2699" w:type="dxa"/>
            <w:tcBorders>
              <w:top w:val="single" w:sz="4" w:space="0" w:color="auto"/>
              <w:left w:val="single" w:sz="4" w:space="0" w:color="auto"/>
              <w:bottom w:val="single" w:sz="4" w:space="0" w:color="auto"/>
            </w:tcBorders>
            <w:vAlign w:val="center"/>
          </w:tcPr>
          <w:p w14:paraId="2789B091" w14:textId="46D25E6F" w:rsidR="00827ACE" w:rsidRPr="00E106DF" w:rsidRDefault="0002019C" w:rsidP="00E106DF">
            <w:pPr>
              <w:rPr>
                <w:rFonts w:cs="Tahoma"/>
                <w:sz w:val="24"/>
                <w:szCs w:val="24"/>
              </w:rPr>
            </w:pPr>
            <w:r w:rsidRPr="00E106DF">
              <w:rPr>
                <w:rFonts w:cs="Tahoma"/>
                <w:sz w:val="24"/>
                <w:szCs w:val="24"/>
              </w:rPr>
              <w:t>$970,905</w:t>
            </w:r>
          </w:p>
        </w:tc>
        <w:tc>
          <w:tcPr>
            <w:cnfStyle w:val="000100000000" w:firstRow="0" w:lastRow="0" w:firstColumn="0" w:lastColumn="1" w:oddVBand="0" w:evenVBand="0" w:oddHBand="0" w:evenHBand="0" w:firstRowFirstColumn="0" w:firstRowLastColumn="0" w:lastRowFirstColumn="0" w:lastRowLastColumn="0"/>
            <w:tcW w:w="1521" w:type="dxa"/>
            <w:tcBorders>
              <w:top w:val="single" w:sz="4" w:space="0" w:color="auto"/>
              <w:bottom w:val="single" w:sz="4" w:space="0" w:color="auto"/>
              <w:right w:val="single" w:sz="4" w:space="0" w:color="auto"/>
            </w:tcBorders>
            <w:vAlign w:val="center"/>
          </w:tcPr>
          <w:p w14:paraId="42333B1E" w14:textId="1AA0D7F6" w:rsidR="00827ACE" w:rsidRPr="00E106DF" w:rsidRDefault="00827ACE" w:rsidP="00E106DF">
            <w:pPr>
              <w:rPr>
                <w:rFonts w:cs="Tahoma"/>
                <w:sz w:val="24"/>
                <w:szCs w:val="24"/>
              </w:rPr>
            </w:pPr>
            <w:r w:rsidRPr="00E106DF">
              <w:rPr>
                <w:rFonts w:cs="Tahoma"/>
                <w:sz w:val="24"/>
                <w:szCs w:val="24"/>
              </w:rPr>
              <w:t>($635,182)</w:t>
            </w:r>
          </w:p>
        </w:tc>
      </w:tr>
      <w:tr w:rsidR="00827ACE" w:rsidRPr="00CB687E" w14:paraId="6062370D" w14:textId="77777777" w:rsidTr="001C5C50">
        <w:trPr>
          <w:trHeight w:val="567"/>
        </w:trPr>
        <w:tc>
          <w:tcPr>
            <w:tcW w:w="2190" w:type="dxa"/>
            <w:tcBorders>
              <w:top w:val="single" w:sz="4" w:space="0" w:color="auto"/>
              <w:bottom w:val="single" w:sz="4" w:space="0" w:color="auto"/>
              <w:right w:val="single" w:sz="24" w:space="0" w:color="auto"/>
            </w:tcBorders>
            <w:vAlign w:val="center"/>
            <w:hideMark/>
          </w:tcPr>
          <w:p w14:paraId="27F3CD8A" w14:textId="77777777" w:rsidR="00827ACE" w:rsidRPr="00E106DF" w:rsidRDefault="00827ACE" w:rsidP="00E106DF">
            <w:pPr>
              <w:rPr>
                <w:rFonts w:cs="Tahoma"/>
                <w:sz w:val="24"/>
                <w:szCs w:val="24"/>
              </w:rPr>
            </w:pPr>
            <w:r w:rsidRPr="00E106DF">
              <w:rPr>
                <w:rFonts w:cs="Tahoma"/>
                <w:sz w:val="24"/>
                <w:szCs w:val="24"/>
              </w:rPr>
              <w:t>Board</w:t>
            </w:r>
          </w:p>
        </w:tc>
        <w:tc>
          <w:tcPr>
            <w:tcW w:w="2908" w:type="dxa"/>
            <w:tcBorders>
              <w:top w:val="single" w:sz="4" w:space="0" w:color="auto"/>
              <w:left w:val="single" w:sz="24" w:space="0" w:color="auto"/>
              <w:bottom w:val="single" w:sz="4" w:space="0" w:color="auto"/>
              <w:right w:val="single" w:sz="4" w:space="0" w:color="auto"/>
            </w:tcBorders>
            <w:vAlign w:val="center"/>
          </w:tcPr>
          <w:p w14:paraId="4F20E0E7" w14:textId="3E0D3077" w:rsidR="00827ACE" w:rsidRPr="00E106DF" w:rsidRDefault="00827ACE" w:rsidP="00E106DF">
            <w:pPr>
              <w:rPr>
                <w:rFonts w:cs="Tahoma"/>
                <w:sz w:val="24"/>
                <w:szCs w:val="24"/>
              </w:rPr>
            </w:pPr>
            <w:r w:rsidRPr="00E106DF">
              <w:rPr>
                <w:rFonts w:cs="Tahoma"/>
                <w:sz w:val="24"/>
                <w:szCs w:val="24"/>
              </w:rPr>
              <w:t>$61,215</w:t>
            </w:r>
          </w:p>
        </w:tc>
        <w:tc>
          <w:tcPr>
            <w:tcW w:w="2699" w:type="dxa"/>
            <w:tcBorders>
              <w:top w:val="single" w:sz="4" w:space="0" w:color="auto"/>
              <w:left w:val="single" w:sz="4" w:space="0" w:color="auto"/>
              <w:bottom w:val="single" w:sz="4" w:space="0" w:color="auto"/>
            </w:tcBorders>
            <w:vAlign w:val="center"/>
          </w:tcPr>
          <w:p w14:paraId="1472824B" w14:textId="3D36BDB5" w:rsidR="00827ACE" w:rsidRPr="00E106DF" w:rsidRDefault="0002019C" w:rsidP="00E106DF">
            <w:pPr>
              <w:rPr>
                <w:rFonts w:cs="Tahoma"/>
                <w:sz w:val="24"/>
                <w:szCs w:val="24"/>
              </w:rPr>
            </w:pPr>
            <w:r w:rsidRPr="00E106DF">
              <w:rPr>
                <w:rFonts w:cs="Tahoma"/>
                <w:sz w:val="24"/>
                <w:szCs w:val="24"/>
              </w:rPr>
              <w:t>$63,213</w:t>
            </w:r>
          </w:p>
        </w:tc>
        <w:tc>
          <w:tcPr>
            <w:cnfStyle w:val="000100000000" w:firstRow="0" w:lastRow="0" w:firstColumn="0" w:lastColumn="1" w:oddVBand="0" w:evenVBand="0" w:oddHBand="0" w:evenHBand="0" w:firstRowFirstColumn="0" w:firstRowLastColumn="0" w:lastRowFirstColumn="0" w:lastRowLastColumn="0"/>
            <w:tcW w:w="1521" w:type="dxa"/>
            <w:tcBorders>
              <w:top w:val="single" w:sz="4" w:space="0" w:color="auto"/>
              <w:bottom w:val="single" w:sz="4" w:space="0" w:color="auto"/>
              <w:right w:val="single" w:sz="4" w:space="0" w:color="auto"/>
            </w:tcBorders>
            <w:vAlign w:val="center"/>
          </w:tcPr>
          <w:p w14:paraId="3B60D97B" w14:textId="3CEE1398" w:rsidR="00827ACE" w:rsidRPr="00E106DF" w:rsidRDefault="00827ACE" w:rsidP="00E106DF">
            <w:pPr>
              <w:rPr>
                <w:rFonts w:cs="Tahoma"/>
                <w:sz w:val="24"/>
                <w:szCs w:val="24"/>
              </w:rPr>
            </w:pPr>
            <w:r w:rsidRPr="00E106DF">
              <w:rPr>
                <w:rFonts w:cs="Tahoma"/>
                <w:sz w:val="24"/>
                <w:szCs w:val="24"/>
              </w:rPr>
              <w:t>($1,998)</w:t>
            </w:r>
          </w:p>
        </w:tc>
      </w:tr>
      <w:tr w:rsidR="00827ACE" w:rsidRPr="00CB687E" w14:paraId="6A59B668" w14:textId="77777777" w:rsidTr="001C5C50">
        <w:trPr>
          <w:trHeight w:val="567"/>
        </w:trPr>
        <w:tc>
          <w:tcPr>
            <w:tcW w:w="2190" w:type="dxa"/>
            <w:tcBorders>
              <w:top w:val="single" w:sz="4" w:space="0" w:color="auto"/>
              <w:bottom w:val="single" w:sz="4" w:space="0" w:color="auto"/>
              <w:right w:val="single" w:sz="24" w:space="0" w:color="auto"/>
            </w:tcBorders>
            <w:vAlign w:val="center"/>
          </w:tcPr>
          <w:p w14:paraId="4A108877" w14:textId="5C796D8D" w:rsidR="00827ACE" w:rsidRPr="00E106DF" w:rsidRDefault="00827ACE" w:rsidP="00E106DF">
            <w:pPr>
              <w:rPr>
                <w:rFonts w:cs="Tahoma"/>
                <w:sz w:val="24"/>
                <w:szCs w:val="24"/>
              </w:rPr>
            </w:pPr>
            <w:r w:rsidRPr="00E106DF">
              <w:rPr>
                <w:rFonts w:cs="Tahoma"/>
                <w:sz w:val="24"/>
                <w:szCs w:val="24"/>
              </w:rPr>
              <w:t xml:space="preserve">Total </w:t>
            </w:r>
            <w:r w:rsidR="0082759C" w:rsidRPr="00E106DF">
              <w:rPr>
                <w:rFonts w:cs="Tahoma"/>
                <w:sz w:val="24"/>
                <w:szCs w:val="24"/>
              </w:rPr>
              <w:t>Expenses</w:t>
            </w:r>
          </w:p>
        </w:tc>
        <w:tc>
          <w:tcPr>
            <w:tcW w:w="2908" w:type="dxa"/>
            <w:tcBorders>
              <w:top w:val="single" w:sz="4" w:space="0" w:color="auto"/>
              <w:left w:val="single" w:sz="24" w:space="0" w:color="auto"/>
              <w:bottom w:val="single" w:sz="4" w:space="0" w:color="auto"/>
              <w:right w:val="single" w:sz="4" w:space="0" w:color="auto"/>
            </w:tcBorders>
            <w:vAlign w:val="center"/>
          </w:tcPr>
          <w:p w14:paraId="775016D7" w14:textId="75611090" w:rsidR="00827ACE" w:rsidRPr="00E106DF" w:rsidRDefault="00827ACE" w:rsidP="00E106DF">
            <w:pPr>
              <w:rPr>
                <w:rFonts w:cs="Tahoma"/>
                <w:sz w:val="24"/>
                <w:szCs w:val="24"/>
              </w:rPr>
            </w:pPr>
            <w:r w:rsidRPr="00E106DF">
              <w:rPr>
                <w:rFonts w:cs="Tahoma"/>
                <w:sz w:val="24"/>
                <w:szCs w:val="24"/>
              </w:rPr>
              <w:t>$5,336,200</w:t>
            </w:r>
          </w:p>
        </w:tc>
        <w:tc>
          <w:tcPr>
            <w:tcW w:w="2699" w:type="dxa"/>
            <w:tcBorders>
              <w:top w:val="single" w:sz="4" w:space="0" w:color="auto"/>
              <w:left w:val="single" w:sz="4" w:space="0" w:color="auto"/>
              <w:bottom w:val="single" w:sz="4" w:space="0" w:color="auto"/>
            </w:tcBorders>
            <w:vAlign w:val="center"/>
          </w:tcPr>
          <w:p w14:paraId="5992A488" w14:textId="3C7BA50B" w:rsidR="00827ACE" w:rsidRPr="00E106DF" w:rsidRDefault="0002019C" w:rsidP="00E106DF">
            <w:pPr>
              <w:rPr>
                <w:rFonts w:cs="Tahoma"/>
                <w:sz w:val="24"/>
                <w:szCs w:val="24"/>
              </w:rPr>
            </w:pPr>
            <w:r w:rsidRPr="00E106DF">
              <w:rPr>
                <w:rFonts w:cs="Tahoma"/>
                <w:sz w:val="24"/>
                <w:szCs w:val="24"/>
              </w:rPr>
              <w:t>$5,649,216</w:t>
            </w:r>
          </w:p>
        </w:tc>
        <w:tc>
          <w:tcPr>
            <w:cnfStyle w:val="000100000000" w:firstRow="0" w:lastRow="0" w:firstColumn="0" w:lastColumn="1" w:oddVBand="0" w:evenVBand="0" w:oddHBand="0" w:evenHBand="0" w:firstRowFirstColumn="0" w:firstRowLastColumn="0" w:lastRowFirstColumn="0" w:lastRowLastColumn="0"/>
            <w:tcW w:w="1521" w:type="dxa"/>
            <w:tcBorders>
              <w:top w:val="single" w:sz="4" w:space="0" w:color="auto"/>
              <w:bottom w:val="single" w:sz="4" w:space="0" w:color="auto"/>
              <w:right w:val="single" w:sz="4" w:space="0" w:color="auto"/>
            </w:tcBorders>
            <w:vAlign w:val="center"/>
          </w:tcPr>
          <w:p w14:paraId="56893F99" w14:textId="111E7C49" w:rsidR="00827ACE" w:rsidRPr="00E106DF" w:rsidRDefault="00827ACE" w:rsidP="00E106DF">
            <w:pPr>
              <w:rPr>
                <w:rFonts w:cs="Tahoma"/>
                <w:sz w:val="24"/>
                <w:szCs w:val="24"/>
              </w:rPr>
            </w:pPr>
            <w:r w:rsidRPr="00E106DF">
              <w:rPr>
                <w:rFonts w:eastAsia="Calibri" w:cs="Tahoma"/>
                <w:sz w:val="24"/>
                <w:szCs w:val="24"/>
              </w:rPr>
              <w:t>($313,016)</w:t>
            </w:r>
          </w:p>
        </w:tc>
      </w:tr>
    </w:tbl>
    <w:p w14:paraId="32E6DB92" w14:textId="456502CF" w:rsidR="002B2C89" w:rsidRPr="00CB687E" w:rsidRDefault="002B2C89" w:rsidP="002B2C89">
      <w:pPr>
        <w:spacing w:after="0" w:line="240" w:lineRule="auto"/>
        <w:rPr>
          <w:rFonts w:asciiTheme="minorHAnsi" w:eastAsia="Calibri" w:hAnsiTheme="minorHAnsi" w:cs="Times New Roman"/>
          <w:sz w:val="22"/>
          <w:szCs w:val="22"/>
        </w:rPr>
      </w:pPr>
    </w:p>
    <w:p w14:paraId="31FB8AF9" w14:textId="695249F9" w:rsidR="006A7708" w:rsidRPr="00AE1829" w:rsidRDefault="002B2C89" w:rsidP="00AE1829">
      <w:pPr>
        <w:rPr>
          <w:rFonts w:eastAsia="Calibri" w:cs="Tahoma"/>
          <w:b/>
          <w:bCs/>
        </w:rPr>
      </w:pPr>
      <w:r w:rsidRPr="00AE1829">
        <w:rPr>
          <w:rFonts w:eastAsia="Calibri" w:cs="Tahoma"/>
          <w:b/>
          <w:bCs/>
        </w:rPr>
        <w:t>2024</w:t>
      </w:r>
      <w:r w:rsidR="009B65A0" w:rsidRPr="009B65A0">
        <w:rPr>
          <w:rFonts w:eastAsia="Calibri" w:cs="Tahoma"/>
          <w:b/>
          <w:bCs/>
        </w:rPr>
        <w:t>–</w:t>
      </w:r>
      <w:r w:rsidRPr="00AE1829">
        <w:rPr>
          <w:rFonts w:eastAsia="Calibri" w:cs="Tahoma"/>
          <w:b/>
          <w:bCs/>
        </w:rPr>
        <w:t>2025 Revenue</w:t>
      </w:r>
      <w:r w:rsidR="0082759C" w:rsidRPr="00AE1829">
        <w:rPr>
          <w:rFonts w:cs="Tahoma"/>
          <w:b/>
          <w:bCs/>
        </w:rPr>
        <w:t xml:space="preserve">: </w:t>
      </w:r>
      <w:r w:rsidRPr="00AE1829">
        <w:rPr>
          <w:rFonts w:eastAsia="Calibri" w:cs="Tahoma"/>
          <w:b/>
          <w:bCs/>
        </w:rPr>
        <w:t>$5,670,254</w:t>
      </w:r>
    </w:p>
    <w:p w14:paraId="29C80836" w14:textId="5ADCCE3F" w:rsidR="006A7708" w:rsidRPr="00CB687E" w:rsidRDefault="006A7708" w:rsidP="001C5C50">
      <w:pPr>
        <w:pStyle w:val="Heading2"/>
      </w:pPr>
      <w:bookmarkStart w:id="139" w:name="_Toc204090323"/>
      <w:r w:rsidRPr="00CB687E">
        <w:t>Summary and Analysis</w:t>
      </w:r>
      <w:bookmarkEnd w:id="139"/>
    </w:p>
    <w:p w14:paraId="72F5EE8C" w14:textId="5DD43B80" w:rsidR="002B2C89" w:rsidRPr="00CB687E" w:rsidRDefault="002B2C89" w:rsidP="002B2C89">
      <w:pPr>
        <w:spacing w:after="120" w:line="264" w:lineRule="auto"/>
        <w:jc w:val="both"/>
        <w:rPr>
          <w:rFonts w:eastAsiaTheme="minorEastAsia" w:cs="Tahoma"/>
          <w:kern w:val="0"/>
          <w14:ligatures w14:val="none"/>
        </w:rPr>
      </w:pPr>
      <w:r w:rsidRPr="00CB687E">
        <w:rPr>
          <w:rFonts w:eastAsiaTheme="minorEastAsia" w:cs="Tahoma"/>
          <w:kern w:val="0"/>
          <w14:ligatures w14:val="none"/>
        </w:rPr>
        <w:t xml:space="preserve">The HRLSC is required to have an annual and independent external audit in accordance with the </w:t>
      </w:r>
      <w:r w:rsidRPr="00CB687E">
        <w:rPr>
          <w:rFonts w:eastAsiaTheme="minorEastAsia" w:cs="Tahoma"/>
          <w:i/>
          <w:iCs/>
          <w:kern w:val="0"/>
          <w14:ligatures w14:val="none"/>
        </w:rPr>
        <w:t>Agencies and Appointments Directive</w:t>
      </w:r>
      <w:r w:rsidRPr="00CB687E">
        <w:rPr>
          <w:rFonts w:eastAsiaTheme="minorEastAsia" w:cs="Tahoma"/>
          <w:kern w:val="0"/>
          <w14:ligatures w14:val="none"/>
        </w:rPr>
        <w:t xml:space="preserve">. The auditors for this year’s report confirmed that the HRLSC is in good standing and that the Centre derives its primary operating revenue from MAG. </w:t>
      </w:r>
    </w:p>
    <w:p w14:paraId="5FCD56AF" w14:textId="35D142D3" w:rsidR="002B2C89" w:rsidRPr="00CB687E" w:rsidRDefault="002B2C89" w:rsidP="002B2C89">
      <w:pPr>
        <w:spacing w:after="120" w:line="264" w:lineRule="auto"/>
        <w:jc w:val="both"/>
        <w:rPr>
          <w:rFonts w:eastAsiaTheme="minorEastAsia" w:cs="Tahoma"/>
          <w:kern w:val="0"/>
          <w14:ligatures w14:val="none"/>
        </w:rPr>
      </w:pPr>
      <w:r w:rsidRPr="00CB687E">
        <w:rPr>
          <w:rFonts w:eastAsiaTheme="minorEastAsia" w:cs="Tahoma"/>
          <w:kern w:val="0"/>
          <w14:ligatures w14:val="none"/>
        </w:rPr>
        <w:t xml:space="preserve">The overall </w:t>
      </w:r>
      <w:r w:rsidR="003C3F77">
        <w:rPr>
          <w:rFonts w:eastAsiaTheme="minorEastAsia" w:cs="Tahoma"/>
          <w:kern w:val="0"/>
          <w14:ligatures w14:val="none"/>
        </w:rPr>
        <w:t>r</w:t>
      </w:r>
      <w:r w:rsidRPr="00CB687E">
        <w:rPr>
          <w:rFonts w:eastAsiaTheme="minorEastAsia" w:cs="Tahoma"/>
          <w:kern w:val="0"/>
          <w14:ligatures w14:val="none"/>
        </w:rPr>
        <w:t>evenue for 2024</w:t>
      </w:r>
      <w:r w:rsidR="00A975E0" w:rsidRPr="00A975E0">
        <w:rPr>
          <w:rFonts w:eastAsiaTheme="minorEastAsia" w:cs="Tahoma"/>
          <w:kern w:val="0"/>
          <w14:ligatures w14:val="none"/>
        </w:rPr>
        <w:t>–</w:t>
      </w:r>
      <w:r w:rsidRPr="00CB687E">
        <w:rPr>
          <w:rFonts w:eastAsiaTheme="minorEastAsia" w:cs="Tahoma"/>
          <w:kern w:val="0"/>
          <w14:ligatures w14:val="none"/>
        </w:rPr>
        <w:t xml:space="preserve">2025 fiscal year amounts to $5,670,254. </w:t>
      </w:r>
      <w:r w:rsidR="006A7708" w:rsidRPr="00CB687E">
        <w:rPr>
          <w:rFonts w:eastAsiaTheme="minorEastAsia" w:cs="Tahoma"/>
          <w:kern w:val="0"/>
          <w14:ligatures w14:val="none"/>
        </w:rPr>
        <w:t>The Ministry of the Attorney General provided in-year, one-time funding, over and above our annual $5.3K base funding, specifically to address the benefit premium increase, sustain historical 1% annual increases for counsel, and support ongoing IT operational commitments aimed at further securing HRLSC’s IT environment.</w:t>
      </w:r>
    </w:p>
    <w:p w14:paraId="63837215" w14:textId="0FDC2BEF" w:rsidR="002B2C89" w:rsidRPr="00CB687E" w:rsidRDefault="002B2C89" w:rsidP="002B2C89">
      <w:pPr>
        <w:spacing w:after="120" w:line="264" w:lineRule="auto"/>
        <w:jc w:val="both"/>
        <w:rPr>
          <w:rFonts w:eastAsiaTheme="minorEastAsia" w:cs="Tahoma"/>
          <w:kern w:val="0"/>
          <w14:ligatures w14:val="none"/>
        </w:rPr>
      </w:pPr>
      <w:r w:rsidRPr="00CB687E">
        <w:rPr>
          <w:rFonts w:eastAsiaTheme="minorEastAsia" w:cs="Tahoma"/>
          <w:kern w:val="0"/>
          <w14:ligatures w14:val="none"/>
        </w:rPr>
        <w:t xml:space="preserve">The HRLSC continues to experience significant staff turnover and is forced to leave positions vacant to enable </w:t>
      </w:r>
      <w:r w:rsidR="000B7CD1" w:rsidRPr="13DE980E">
        <w:rPr>
          <w:rFonts w:eastAsiaTheme="minorEastAsia" w:cs="Tahoma"/>
        </w:rPr>
        <w:t xml:space="preserve">the Centre </w:t>
      </w:r>
      <w:r w:rsidRPr="00CB687E">
        <w:rPr>
          <w:rFonts w:eastAsiaTheme="minorEastAsia" w:cs="Tahoma"/>
          <w:kern w:val="0"/>
          <w14:ligatures w14:val="none"/>
        </w:rPr>
        <w:t xml:space="preserve">to realign funds from salaries to </w:t>
      </w:r>
      <w:r w:rsidR="07622B25" w:rsidRPr="13DE980E">
        <w:rPr>
          <w:rFonts w:eastAsiaTheme="minorEastAsia" w:cs="Tahoma"/>
          <w:kern w:val="0"/>
          <w14:ligatures w14:val="none"/>
        </w:rPr>
        <w:t xml:space="preserve">Other Direct Operating </w:t>
      </w:r>
      <w:r w:rsidR="07622B25" w:rsidRPr="21EA466F">
        <w:rPr>
          <w:rFonts w:eastAsiaTheme="minorEastAsia" w:cs="Tahoma"/>
          <w:kern w:val="0"/>
          <w14:ligatures w14:val="none"/>
        </w:rPr>
        <w:t>Expen</w:t>
      </w:r>
      <w:r w:rsidR="0C787A00" w:rsidRPr="21EA466F">
        <w:rPr>
          <w:rFonts w:eastAsiaTheme="minorEastAsia" w:cs="Tahoma"/>
          <w:kern w:val="0"/>
          <w14:ligatures w14:val="none"/>
        </w:rPr>
        <w:t>s</w:t>
      </w:r>
      <w:r w:rsidR="07622B25" w:rsidRPr="21EA466F">
        <w:rPr>
          <w:rFonts w:eastAsiaTheme="minorEastAsia" w:cs="Tahoma"/>
          <w:kern w:val="0"/>
          <w14:ligatures w14:val="none"/>
        </w:rPr>
        <w:t>es (</w:t>
      </w:r>
      <w:r w:rsidRPr="13DE980E">
        <w:rPr>
          <w:rFonts w:eastAsiaTheme="minorEastAsia" w:cs="Tahoma"/>
          <w:kern w:val="0"/>
          <w14:ligatures w14:val="none"/>
        </w:rPr>
        <w:t>ODOE</w:t>
      </w:r>
      <w:r w:rsidR="231367EF" w:rsidRPr="21EA466F">
        <w:rPr>
          <w:rFonts w:eastAsiaTheme="minorEastAsia" w:cs="Tahoma"/>
          <w:kern w:val="0"/>
          <w14:ligatures w14:val="none"/>
        </w:rPr>
        <w:t>)</w:t>
      </w:r>
      <w:r w:rsidRPr="00CB687E">
        <w:rPr>
          <w:rFonts w:eastAsiaTheme="minorEastAsia" w:cs="Tahoma"/>
          <w:kern w:val="0"/>
          <w14:ligatures w14:val="none"/>
        </w:rPr>
        <w:t xml:space="preserve"> to help sustain our ongoing operational commitments and critical one-time projects mandated under the letter of direction. With this additional funding from MAG, the bank interest earned this year, and the cost awards, HRLSC was able to manage the overall pressure for 2024</w:t>
      </w:r>
      <w:r w:rsidR="003401BC" w:rsidRPr="13DE980E">
        <w:rPr>
          <w:rFonts w:eastAsiaTheme="minorEastAsia" w:cs="Tahoma"/>
        </w:rPr>
        <w:t>–</w:t>
      </w:r>
      <w:r w:rsidRPr="00CB687E">
        <w:rPr>
          <w:rFonts w:eastAsiaTheme="minorEastAsia" w:cs="Tahoma"/>
          <w:kern w:val="0"/>
          <w14:ligatures w14:val="none"/>
        </w:rPr>
        <w:t xml:space="preserve">2025 fiscal year. The audited financial statement approved by the Board of Directors is appended at the end of this annual report. </w:t>
      </w:r>
    </w:p>
    <w:p w14:paraId="44BC68CB" w14:textId="0C8E240D" w:rsidR="002B2C89" w:rsidRPr="00CB687E" w:rsidRDefault="002B2C89" w:rsidP="002B2C89">
      <w:pPr>
        <w:spacing w:after="120" w:line="264" w:lineRule="auto"/>
        <w:jc w:val="both"/>
        <w:rPr>
          <w:rFonts w:eastAsiaTheme="minorEastAsia" w:cs="Tahoma"/>
          <w:kern w:val="0"/>
          <w14:ligatures w14:val="none"/>
        </w:rPr>
      </w:pPr>
      <w:r w:rsidRPr="00CB687E">
        <w:rPr>
          <w:rFonts w:eastAsiaTheme="minorEastAsia" w:cs="Tahoma"/>
          <w:kern w:val="0"/>
          <w14:ligatures w14:val="none"/>
        </w:rPr>
        <w:lastRenderedPageBreak/>
        <w:t>Costs for the 2024</w:t>
      </w:r>
      <w:r w:rsidR="003401BC" w:rsidRPr="003401BC">
        <w:rPr>
          <w:rFonts w:eastAsiaTheme="minorEastAsia" w:cs="Tahoma"/>
          <w:kern w:val="0"/>
          <w14:ligatures w14:val="none"/>
        </w:rPr>
        <w:t>–</w:t>
      </w:r>
      <w:r w:rsidRPr="00CB687E">
        <w:rPr>
          <w:rFonts w:eastAsiaTheme="minorEastAsia" w:cs="Tahoma"/>
          <w:kern w:val="0"/>
          <w14:ligatures w14:val="none"/>
        </w:rPr>
        <w:t xml:space="preserve">2025 fiscal period were managed through ongoing monitoring, analysis, and timely decision-making, as supported by the HRLSC’s agile service delivery model. </w:t>
      </w:r>
    </w:p>
    <w:p w14:paraId="0B0D136F" w14:textId="47B1403D" w:rsidR="002B2C89" w:rsidRPr="00CB687E" w:rsidRDefault="002B2C89" w:rsidP="002B2C89">
      <w:pPr>
        <w:spacing w:after="120" w:line="264" w:lineRule="auto"/>
        <w:jc w:val="both"/>
        <w:rPr>
          <w:rFonts w:eastAsiaTheme="minorEastAsia" w:cs="Tahoma"/>
          <w:kern w:val="0"/>
          <w14:ligatures w14:val="none"/>
        </w:rPr>
      </w:pPr>
      <w:r w:rsidRPr="00CB687E">
        <w:rPr>
          <w:rFonts w:eastAsiaTheme="minorEastAsia" w:cs="Tahoma"/>
          <w:kern w:val="0"/>
          <w14:ligatures w14:val="none"/>
        </w:rPr>
        <w:t>The HRLSC continues to make efforts to find cost efficiencies, such as utilizing digital platforms, relocating its IT infrastructure to the Justice Technology Services, outsourcing administrative work, and seeking out new funding sources and partnerships to expand our legal service capacity (e.g. see section 3.2.6). In addition, the HRLSC optimized our organizational capacity by identifying, and redeploying resources to priority areas to support its new 5-year strategic plan.</w:t>
      </w:r>
    </w:p>
    <w:p w14:paraId="0FAF3B14" w14:textId="72C79BED" w:rsidR="002B2C89" w:rsidRPr="00CB687E" w:rsidRDefault="002B2C89" w:rsidP="002B2C89">
      <w:pPr>
        <w:spacing w:after="120" w:line="264" w:lineRule="auto"/>
        <w:jc w:val="both"/>
        <w:rPr>
          <w:rFonts w:eastAsiaTheme="minorEastAsia" w:cs="Tahoma"/>
          <w:kern w:val="0"/>
          <w14:ligatures w14:val="none"/>
        </w:rPr>
      </w:pPr>
      <w:r w:rsidRPr="00CB687E">
        <w:rPr>
          <w:rFonts w:eastAsiaTheme="minorEastAsia" w:cs="Tahoma"/>
          <w:kern w:val="0"/>
          <w14:ligatures w14:val="none"/>
        </w:rPr>
        <w:t xml:space="preserve">While the HRLSC’s ongoing operational expenses typically range in the </w:t>
      </w:r>
      <w:r w:rsidR="00C26FDB" w:rsidRPr="00CB687E">
        <w:rPr>
          <w:rFonts w:eastAsiaTheme="minorEastAsia" w:cs="Tahoma"/>
          <w:kern w:val="0"/>
          <w14:ligatures w14:val="none"/>
        </w:rPr>
        <w:t>$</w:t>
      </w:r>
      <w:r w:rsidRPr="00CB687E">
        <w:rPr>
          <w:rFonts w:eastAsiaTheme="minorEastAsia" w:cs="Tahoma"/>
          <w:kern w:val="0"/>
          <w14:ligatures w14:val="none"/>
        </w:rPr>
        <w:t>800K range (thus requiring drawing on savings from salary and benefits each year through vacancies), the HRLSC’s operating expenses during the 2024</w:t>
      </w:r>
      <w:r w:rsidR="009B65A0" w:rsidRPr="009B65A0">
        <w:rPr>
          <w:rFonts w:eastAsiaTheme="minorEastAsia" w:cs="Tahoma"/>
          <w:kern w:val="0"/>
          <w14:ligatures w14:val="none"/>
        </w:rPr>
        <w:t>–</w:t>
      </w:r>
      <w:r w:rsidRPr="00CB687E">
        <w:rPr>
          <w:rFonts w:eastAsiaTheme="minorEastAsia" w:cs="Tahoma"/>
          <w:kern w:val="0"/>
          <w14:ligatures w14:val="none"/>
        </w:rPr>
        <w:t>2025 fiscal year were somewhat higher (</w:t>
      </w:r>
      <w:r w:rsidR="00C26FDB" w:rsidRPr="00CB687E">
        <w:rPr>
          <w:rFonts w:eastAsiaTheme="minorEastAsia" w:cs="Tahoma"/>
          <w:kern w:val="0"/>
          <w14:ligatures w14:val="none"/>
        </w:rPr>
        <w:t>$</w:t>
      </w:r>
      <w:r w:rsidRPr="00CB687E">
        <w:rPr>
          <w:rFonts w:eastAsiaTheme="minorEastAsia" w:cs="Tahoma"/>
          <w:kern w:val="0"/>
          <w14:ligatures w14:val="none"/>
        </w:rPr>
        <w:t xml:space="preserve">970K), primarily as a result of increased IT security-related measures and expenses after the October 3, 2023, cybersecurity incident. </w:t>
      </w:r>
    </w:p>
    <w:p w14:paraId="507A391E" w14:textId="77777777" w:rsidR="002B2C89" w:rsidRPr="00CB687E" w:rsidRDefault="002B2C89" w:rsidP="002B2C89">
      <w:pPr>
        <w:spacing w:after="120" w:line="264" w:lineRule="auto"/>
        <w:jc w:val="both"/>
        <w:rPr>
          <w:rFonts w:eastAsiaTheme="minorEastAsia" w:cs="Tahoma"/>
          <w:kern w:val="0"/>
          <w14:ligatures w14:val="none"/>
        </w:rPr>
      </w:pPr>
      <w:r w:rsidRPr="00CB687E">
        <w:rPr>
          <w:rFonts w:eastAsiaTheme="minorEastAsia" w:cs="Tahoma"/>
          <w:kern w:val="0"/>
          <w14:ligatures w14:val="none"/>
        </w:rPr>
        <w:t>The HRLSC continues to assess and make budget realignments to address its immediate operational needs. The HRLSC continues to be concerned with the impact of the rate of inflation and lack of permanent funding increases to keep pace with this, and will continue to discuss this matter with MAG.</w:t>
      </w:r>
    </w:p>
    <w:p w14:paraId="7BEE1F58" w14:textId="5B0FE208" w:rsidR="002B2C89" w:rsidRPr="00CB687E" w:rsidRDefault="002B2C89" w:rsidP="002B2C89">
      <w:pPr>
        <w:spacing w:after="120" w:line="264" w:lineRule="auto"/>
        <w:jc w:val="both"/>
        <w:rPr>
          <w:rFonts w:eastAsiaTheme="minorEastAsia" w:cs="Tahoma"/>
          <w:kern w:val="0"/>
          <w14:ligatures w14:val="none"/>
        </w:rPr>
      </w:pPr>
      <w:r w:rsidRPr="00CB687E">
        <w:rPr>
          <w:rFonts w:eastAsiaTheme="minorEastAsia" w:cs="Tahoma"/>
          <w:kern w:val="0"/>
          <w14:ligatures w14:val="none"/>
        </w:rPr>
        <w:t xml:space="preserve">The HRLSC’s Board members continue to participate in governance-related initiatives including resulting from the government’s </w:t>
      </w:r>
      <w:r w:rsidR="00F049D1" w:rsidRPr="00CB687E">
        <w:rPr>
          <w:rFonts w:eastAsiaTheme="minorEastAsia" w:cs="Tahoma"/>
          <w:kern w:val="0"/>
          <w14:ligatures w14:val="none"/>
        </w:rPr>
        <w:t xml:space="preserve">October 1, </w:t>
      </w:r>
      <w:proofErr w:type="gramStart"/>
      <w:r w:rsidR="00F049D1" w:rsidRPr="00CB687E">
        <w:rPr>
          <w:rFonts w:eastAsiaTheme="minorEastAsia" w:cs="Tahoma"/>
          <w:kern w:val="0"/>
          <w14:ligatures w14:val="none"/>
        </w:rPr>
        <w:t>2024</w:t>
      </w:r>
      <w:proofErr w:type="gramEnd"/>
      <w:r w:rsidR="00F049D1" w:rsidRPr="00CB687E">
        <w:rPr>
          <w:rFonts w:eastAsiaTheme="minorEastAsia" w:cs="Tahoma"/>
          <w:kern w:val="0"/>
          <w14:ligatures w14:val="none"/>
        </w:rPr>
        <w:t xml:space="preserve"> </w:t>
      </w:r>
      <w:r w:rsidRPr="00CB687E">
        <w:rPr>
          <w:rFonts w:eastAsiaTheme="minorEastAsia" w:cs="Tahoma"/>
          <w:kern w:val="0"/>
          <w14:ligatures w14:val="none"/>
        </w:rPr>
        <w:t>introduction of a new Agencies and Appointment Directive, which required, among other things, initiating discussions of and updat</w:t>
      </w:r>
      <w:r w:rsidR="00F049D1" w:rsidRPr="00CB687E">
        <w:rPr>
          <w:rFonts w:eastAsiaTheme="minorEastAsia" w:cs="Tahoma"/>
          <w:kern w:val="0"/>
          <w14:ligatures w14:val="none"/>
        </w:rPr>
        <w:t>es to</w:t>
      </w:r>
      <w:r w:rsidRPr="00CB687E">
        <w:rPr>
          <w:rFonts w:eastAsiaTheme="minorEastAsia" w:cs="Tahoma"/>
          <w:kern w:val="0"/>
          <w14:ligatures w14:val="none"/>
        </w:rPr>
        <w:t xml:space="preserve"> MAG and HRLSC’s Memorandum of Understanding</w:t>
      </w:r>
      <w:r w:rsidR="00F049D1" w:rsidRPr="00CB687E">
        <w:rPr>
          <w:rFonts w:eastAsiaTheme="minorEastAsia" w:cs="Tahoma"/>
          <w:kern w:val="0"/>
          <w14:ligatures w14:val="none"/>
        </w:rPr>
        <w:t xml:space="preserve">. The Board also supported the development of several new HRLSC grant funding proposals, in addition to the emergency business case and </w:t>
      </w:r>
      <w:r w:rsidR="00416031" w:rsidRPr="00CB687E">
        <w:rPr>
          <w:rFonts w:eastAsiaTheme="minorEastAsia" w:cs="Tahoma"/>
          <w:kern w:val="0"/>
          <w14:ligatures w14:val="none"/>
        </w:rPr>
        <w:t xml:space="preserve">long-term </w:t>
      </w:r>
      <w:r w:rsidR="00F049D1" w:rsidRPr="00CB687E">
        <w:rPr>
          <w:rFonts w:eastAsiaTheme="minorEastAsia" w:cs="Tahoma"/>
          <w:kern w:val="0"/>
          <w14:ligatures w14:val="none"/>
        </w:rPr>
        <w:t>sustainability funding request to MAG/TBS for core funding increases in the 2024</w:t>
      </w:r>
      <w:r w:rsidR="004334C5" w:rsidRPr="004334C5">
        <w:rPr>
          <w:rFonts w:eastAsiaTheme="minorEastAsia" w:cs="Tahoma"/>
          <w:kern w:val="0"/>
          <w14:ligatures w14:val="none"/>
        </w:rPr>
        <w:t>–</w:t>
      </w:r>
      <w:r w:rsidR="00F049D1" w:rsidRPr="00CB687E">
        <w:rPr>
          <w:rFonts w:eastAsiaTheme="minorEastAsia" w:cs="Tahoma"/>
          <w:kern w:val="0"/>
          <w14:ligatures w14:val="none"/>
        </w:rPr>
        <w:t>2025 period, the efforts of which expanded significantly over previous years. I</w:t>
      </w:r>
      <w:r w:rsidRPr="00CB687E">
        <w:rPr>
          <w:rFonts w:eastAsiaTheme="minorEastAsia" w:cs="Tahoma"/>
          <w:kern w:val="0"/>
          <w14:ligatures w14:val="none"/>
        </w:rPr>
        <w:t xml:space="preserve">ncreased board participation </w:t>
      </w:r>
      <w:r w:rsidR="00F049D1" w:rsidRPr="00CB687E">
        <w:rPr>
          <w:rFonts w:eastAsiaTheme="minorEastAsia" w:cs="Tahoma"/>
          <w:kern w:val="0"/>
          <w14:ligatures w14:val="none"/>
        </w:rPr>
        <w:t xml:space="preserve">in response to such government review processes and funding </w:t>
      </w:r>
      <w:r w:rsidR="00416031" w:rsidRPr="00CB687E">
        <w:rPr>
          <w:rFonts w:eastAsiaTheme="minorEastAsia" w:cs="Tahoma"/>
          <w:kern w:val="0"/>
          <w14:ligatures w14:val="none"/>
        </w:rPr>
        <w:t>generation efforts</w:t>
      </w:r>
      <w:r w:rsidR="00F049D1" w:rsidRPr="00CB687E">
        <w:rPr>
          <w:rFonts w:eastAsiaTheme="minorEastAsia" w:cs="Tahoma"/>
          <w:kern w:val="0"/>
          <w14:ligatures w14:val="none"/>
        </w:rPr>
        <w:t xml:space="preserve">, in addition to HRLSC’s recruitment of an interim Executive Director, contributed to </w:t>
      </w:r>
      <w:r w:rsidRPr="00CB687E">
        <w:rPr>
          <w:rFonts w:eastAsiaTheme="minorEastAsia" w:cs="Tahoma"/>
          <w:kern w:val="0"/>
          <w14:ligatures w14:val="none"/>
        </w:rPr>
        <w:t>slightly higher board-related costs in 2024</w:t>
      </w:r>
      <w:r w:rsidR="009B65A0" w:rsidRPr="009B65A0">
        <w:rPr>
          <w:rFonts w:eastAsiaTheme="minorEastAsia" w:cs="Tahoma"/>
          <w:kern w:val="0"/>
          <w14:ligatures w14:val="none"/>
        </w:rPr>
        <w:t>–</w:t>
      </w:r>
      <w:r w:rsidRPr="00CB687E">
        <w:rPr>
          <w:rFonts w:eastAsiaTheme="minorEastAsia" w:cs="Tahoma"/>
          <w:kern w:val="0"/>
          <w14:ligatures w14:val="none"/>
        </w:rPr>
        <w:t xml:space="preserve">2025. The Board serves as a bridge to other organizations within the justice system and interacts extensively with MAG and the other two pillars of the human rights system, the HRTO and OHRC. In this work with fellow community and government partners, the Board promotes additional potential opportunities for efficiencies. </w:t>
      </w:r>
    </w:p>
    <w:p w14:paraId="79355EF0" w14:textId="16E100D9" w:rsidR="002B2C89" w:rsidRPr="00CB687E" w:rsidRDefault="002B2C89" w:rsidP="002B2C89">
      <w:pPr>
        <w:spacing w:after="120" w:line="264" w:lineRule="auto"/>
        <w:jc w:val="both"/>
        <w:rPr>
          <w:rFonts w:eastAsiaTheme="minorEastAsia" w:cs="Tahoma"/>
          <w:kern w:val="0"/>
          <w14:ligatures w14:val="none"/>
        </w:rPr>
      </w:pPr>
      <w:r w:rsidRPr="00CB687E">
        <w:rPr>
          <w:rFonts w:eastAsiaTheme="minorEastAsia" w:cs="Tahoma"/>
          <w:kern w:val="0"/>
          <w14:ligatures w14:val="none"/>
        </w:rPr>
        <w:t xml:space="preserve">The most significant </w:t>
      </w:r>
      <w:r w:rsidR="00F049D1" w:rsidRPr="00CB687E">
        <w:rPr>
          <w:rFonts w:eastAsiaTheme="minorEastAsia" w:cs="Tahoma"/>
          <w:kern w:val="0"/>
          <w14:ligatures w14:val="none"/>
        </w:rPr>
        <w:t xml:space="preserve">and persisting </w:t>
      </w:r>
      <w:r w:rsidRPr="00CB687E">
        <w:rPr>
          <w:rFonts w:eastAsiaTheme="minorEastAsia" w:cs="Tahoma"/>
          <w:kern w:val="0"/>
          <w14:ligatures w14:val="none"/>
        </w:rPr>
        <w:t>financial challenge for the HRLSC in 2024</w:t>
      </w:r>
      <w:r w:rsidR="002A622E" w:rsidRPr="002A622E">
        <w:rPr>
          <w:rFonts w:eastAsiaTheme="minorEastAsia" w:cs="Tahoma"/>
          <w:kern w:val="0"/>
          <w14:ligatures w14:val="none"/>
        </w:rPr>
        <w:t>–</w:t>
      </w:r>
      <w:r w:rsidRPr="00CB687E">
        <w:rPr>
          <w:rFonts w:eastAsiaTheme="minorEastAsia" w:cs="Tahoma"/>
          <w:kern w:val="0"/>
          <w14:ligatures w14:val="none"/>
        </w:rPr>
        <w:t xml:space="preserve">2025 continues to </w:t>
      </w:r>
      <w:r w:rsidR="00F049D1" w:rsidRPr="00CB687E">
        <w:rPr>
          <w:rFonts w:eastAsiaTheme="minorEastAsia" w:cs="Tahoma"/>
          <w:kern w:val="0"/>
          <w14:ligatures w14:val="none"/>
        </w:rPr>
        <w:t>relate to</w:t>
      </w:r>
      <w:r w:rsidRPr="00CB687E">
        <w:rPr>
          <w:rFonts w:eastAsiaTheme="minorEastAsia" w:cs="Tahoma"/>
          <w:kern w:val="0"/>
          <w14:ligatures w14:val="none"/>
        </w:rPr>
        <w:t xml:space="preserve"> long-term sustainability </w:t>
      </w:r>
      <w:r w:rsidR="00416031" w:rsidRPr="00CB687E">
        <w:rPr>
          <w:rFonts w:eastAsiaTheme="minorEastAsia" w:cs="Tahoma"/>
          <w:kern w:val="0"/>
          <w14:ligatures w14:val="none"/>
        </w:rPr>
        <w:t>in the context of a static budget</w:t>
      </w:r>
      <w:r w:rsidRPr="00CB687E">
        <w:rPr>
          <w:rFonts w:eastAsiaTheme="minorEastAsia" w:cs="Tahoma"/>
          <w:kern w:val="0"/>
          <w14:ligatures w14:val="none"/>
        </w:rPr>
        <w:t xml:space="preserve">, specifically maintaining and sustaining </w:t>
      </w:r>
      <w:r w:rsidR="00416031" w:rsidRPr="00CB687E">
        <w:rPr>
          <w:rFonts w:eastAsiaTheme="minorEastAsia" w:cs="Tahoma"/>
          <w:kern w:val="0"/>
          <w14:ligatures w14:val="none"/>
        </w:rPr>
        <w:t>annual increases</w:t>
      </w:r>
      <w:r w:rsidRPr="00CB687E">
        <w:rPr>
          <w:rFonts w:eastAsiaTheme="minorEastAsia" w:cs="Tahoma"/>
          <w:kern w:val="0"/>
          <w14:ligatures w14:val="none"/>
        </w:rPr>
        <w:t xml:space="preserve">, </w:t>
      </w:r>
      <w:r w:rsidR="00416031" w:rsidRPr="00CB687E">
        <w:rPr>
          <w:rFonts w:eastAsiaTheme="minorEastAsia" w:cs="Tahoma"/>
          <w:kern w:val="0"/>
          <w14:ligatures w14:val="none"/>
        </w:rPr>
        <w:t xml:space="preserve">competitive salaries, avoiding </w:t>
      </w:r>
      <w:r w:rsidRPr="00CB687E">
        <w:rPr>
          <w:rFonts w:eastAsiaTheme="minorEastAsia" w:cs="Tahoma"/>
          <w:kern w:val="0"/>
          <w14:ligatures w14:val="none"/>
        </w:rPr>
        <w:t>salary compression</w:t>
      </w:r>
      <w:r w:rsidR="00416031" w:rsidRPr="00CB687E">
        <w:rPr>
          <w:rFonts w:eastAsiaTheme="minorEastAsia" w:cs="Tahoma"/>
          <w:kern w:val="0"/>
          <w14:ligatures w14:val="none"/>
        </w:rPr>
        <w:t xml:space="preserve">, </w:t>
      </w:r>
      <w:r w:rsidRPr="00CB687E">
        <w:rPr>
          <w:rFonts w:eastAsiaTheme="minorEastAsia" w:cs="Tahoma"/>
          <w:kern w:val="0"/>
          <w14:ligatures w14:val="none"/>
        </w:rPr>
        <w:t xml:space="preserve">and </w:t>
      </w:r>
      <w:r w:rsidR="00416031" w:rsidRPr="00CB687E">
        <w:rPr>
          <w:rFonts w:eastAsiaTheme="minorEastAsia" w:cs="Tahoma"/>
          <w:kern w:val="0"/>
          <w14:ligatures w14:val="none"/>
        </w:rPr>
        <w:t>affording rising</w:t>
      </w:r>
      <w:r w:rsidRPr="00CB687E">
        <w:rPr>
          <w:rFonts w:eastAsiaTheme="minorEastAsia" w:cs="Tahoma"/>
          <w:kern w:val="0"/>
          <w14:ligatures w14:val="none"/>
        </w:rPr>
        <w:t xml:space="preserve"> operational </w:t>
      </w:r>
      <w:r w:rsidR="00416031" w:rsidRPr="00CB687E">
        <w:rPr>
          <w:rFonts w:eastAsiaTheme="minorEastAsia" w:cs="Tahoma"/>
          <w:kern w:val="0"/>
          <w14:ligatures w14:val="none"/>
        </w:rPr>
        <w:t>costs</w:t>
      </w:r>
      <w:r w:rsidR="00F049D1" w:rsidRPr="00CB687E">
        <w:rPr>
          <w:rFonts w:eastAsiaTheme="minorEastAsia" w:cs="Tahoma"/>
          <w:kern w:val="0"/>
          <w14:ligatures w14:val="none"/>
        </w:rPr>
        <w:t xml:space="preserve"> </w:t>
      </w:r>
      <w:r w:rsidR="00416031" w:rsidRPr="00CB687E">
        <w:rPr>
          <w:rFonts w:eastAsiaTheme="minorEastAsia" w:cs="Tahoma"/>
          <w:kern w:val="0"/>
          <w14:ligatures w14:val="none"/>
        </w:rPr>
        <w:t>due to</w:t>
      </w:r>
      <w:r w:rsidR="00F049D1" w:rsidRPr="00CB687E">
        <w:rPr>
          <w:rFonts w:eastAsiaTheme="minorEastAsia" w:cs="Tahoma"/>
          <w:kern w:val="0"/>
          <w14:ligatures w14:val="none"/>
        </w:rPr>
        <w:t xml:space="preserve"> inflation</w:t>
      </w:r>
      <w:r w:rsidRPr="00CB687E">
        <w:rPr>
          <w:rFonts w:eastAsiaTheme="minorEastAsia" w:cs="Tahoma"/>
          <w:kern w:val="0"/>
          <w14:ligatures w14:val="none"/>
        </w:rPr>
        <w:t xml:space="preserve">. The HRLSC maintains regular communications and correspondence with MAG to address these financial challenges, including discussions about a more sustainable funding model. </w:t>
      </w:r>
    </w:p>
    <w:p w14:paraId="0F8813A7" w14:textId="5CE8E5B3" w:rsidR="002B2C89" w:rsidRDefault="002B2C89" w:rsidP="002B2C89">
      <w:pPr>
        <w:spacing w:after="120" w:line="264" w:lineRule="auto"/>
        <w:jc w:val="both"/>
        <w:rPr>
          <w:rFonts w:eastAsiaTheme="minorEastAsia" w:cs="Tahoma"/>
          <w:kern w:val="0"/>
          <w14:ligatures w14:val="none"/>
        </w:rPr>
      </w:pPr>
      <w:r w:rsidRPr="00CB687E">
        <w:rPr>
          <w:rFonts w:eastAsiaTheme="minorEastAsia" w:cs="Tahoma"/>
          <w:kern w:val="0"/>
          <w14:ligatures w14:val="none"/>
        </w:rPr>
        <w:lastRenderedPageBreak/>
        <w:t xml:space="preserve">Without an increase to the HRLSC’s permanent base budget, </w:t>
      </w:r>
      <w:r w:rsidR="0018664D">
        <w:rPr>
          <w:rFonts w:eastAsiaTheme="minorEastAsia" w:cs="Tahoma"/>
          <w:kern w:val="0"/>
          <w14:ligatures w14:val="none"/>
        </w:rPr>
        <w:t xml:space="preserve">the </w:t>
      </w:r>
      <w:r w:rsidRPr="00CB687E">
        <w:rPr>
          <w:rFonts w:eastAsiaTheme="minorEastAsia" w:cs="Tahoma"/>
          <w:kern w:val="0"/>
          <w14:ligatures w14:val="none"/>
        </w:rPr>
        <w:t>C</w:t>
      </w:r>
      <w:r w:rsidR="0018664D">
        <w:rPr>
          <w:rFonts w:eastAsiaTheme="minorEastAsia" w:cs="Tahoma"/>
          <w:kern w:val="0"/>
          <w14:ligatures w14:val="none"/>
        </w:rPr>
        <w:t>entre</w:t>
      </w:r>
      <w:r w:rsidRPr="00CB687E">
        <w:rPr>
          <w:rFonts w:eastAsiaTheme="minorEastAsia" w:cs="Tahoma"/>
          <w:kern w:val="0"/>
          <w14:ligatures w14:val="none"/>
        </w:rPr>
        <w:t xml:space="preserve"> will have to implement a restructuring plan that will reduce our resources and services, even as Ontarians’ demand for legal advice and support on human rights issues continue</w:t>
      </w:r>
      <w:r w:rsidR="00C26FDB" w:rsidRPr="00CB687E">
        <w:rPr>
          <w:rFonts w:eastAsiaTheme="minorEastAsia" w:cs="Tahoma"/>
          <w:kern w:val="0"/>
          <w14:ligatures w14:val="none"/>
        </w:rPr>
        <w:t>s</w:t>
      </w:r>
      <w:r w:rsidRPr="00CB687E">
        <w:rPr>
          <w:rFonts w:eastAsiaTheme="minorEastAsia" w:cs="Tahoma"/>
          <w:kern w:val="0"/>
          <w14:ligatures w14:val="none"/>
        </w:rPr>
        <w:t xml:space="preserve"> to demonstrably increase (e.g. see sections 4.3.4 and 4.3.8).</w:t>
      </w:r>
    </w:p>
    <w:p w14:paraId="1EC426A3" w14:textId="132DBE7C" w:rsidR="002B0C9F" w:rsidRPr="00CB687E" w:rsidRDefault="007200A9" w:rsidP="00ED4847">
      <w:r w:rsidRPr="007E334A">
        <w:rPr>
          <w:rFonts w:eastAsiaTheme="minorEastAsia" w:cs="Tahoma"/>
          <w:noProof/>
          <w:kern w:val="0"/>
          <w14:ligatures w14:val="none"/>
        </w:rPr>
        <mc:AlternateContent>
          <mc:Choice Requires="wps">
            <w:drawing>
              <wp:anchor distT="91440" distB="91440" distL="114300" distR="114300" simplePos="0" relativeHeight="251693060" behindDoc="0" locked="0" layoutInCell="1" allowOverlap="1" wp14:anchorId="5CF15291" wp14:editId="0B275858">
                <wp:simplePos x="0" y="0"/>
                <wp:positionH relativeFrom="margin">
                  <wp:posOffset>-28575</wp:posOffset>
                </wp:positionH>
                <wp:positionV relativeFrom="margin">
                  <wp:posOffset>2362200</wp:posOffset>
                </wp:positionV>
                <wp:extent cx="5962650" cy="1403985"/>
                <wp:effectExtent l="0" t="0" r="0" b="0"/>
                <wp:wrapSquare wrapText="bothSides"/>
                <wp:docPr id="1488901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3985"/>
                        </a:xfrm>
                        <a:prstGeom prst="rect">
                          <a:avLst/>
                        </a:prstGeom>
                        <a:noFill/>
                        <a:ln w="9525">
                          <a:noFill/>
                          <a:miter lim="800000"/>
                          <a:headEnd/>
                          <a:tailEnd/>
                        </a:ln>
                      </wps:spPr>
                      <wps:txbx>
                        <w:txbxContent>
                          <w:p w14:paraId="5FD92831" w14:textId="5E7054DB" w:rsidR="007200A9" w:rsidRPr="00396E1F" w:rsidRDefault="00F60A35" w:rsidP="007200A9">
                            <w:pPr>
                              <w:pBdr>
                                <w:top w:val="single" w:sz="24" w:space="8" w:color="156082" w:themeColor="accent1"/>
                                <w:bottom w:val="single" w:sz="24" w:space="8" w:color="156082" w:themeColor="accent1"/>
                              </w:pBdr>
                              <w:spacing w:after="0"/>
                              <w:rPr>
                                <w:i/>
                                <w:iCs/>
                                <w:color w:val="156082" w:themeColor="accent1"/>
                                <w:sz w:val="32"/>
                                <w:szCs w:val="32"/>
                              </w:rPr>
                            </w:pPr>
                            <w:r>
                              <w:rPr>
                                <w:i/>
                                <w:iCs/>
                                <w:color w:val="156082" w:themeColor="accent1"/>
                                <w:sz w:val="32"/>
                                <w:szCs w:val="32"/>
                                <w:lang w:val="en-US"/>
                              </w:rPr>
                              <w:t>’’</w:t>
                            </w:r>
                            <w:r w:rsidR="007200A9" w:rsidRPr="007B2428">
                              <w:rPr>
                                <w:i/>
                                <w:iCs/>
                                <w:color w:val="156082" w:themeColor="accent1"/>
                                <w:sz w:val="32"/>
                                <w:szCs w:val="32"/>
                              </w:rPr>
                              <w:t>Thanks to your team tireless efforts, I can now move forward with a renewed sense of hope and confidence. Your teamwork has had a life-changing impact on me, and words cannot fully capture the depth of my gratitude.</w:t>
                            </w:r>
                            <w:r w:rsidR="00396E1F">
                              <w:rPr>
                                <w:i/>
                                <w:iCs/>
                                <w:color w:val="156082" w:themeColor="accent1"/>
                                <w:sz w:val="32"/>
                                <w:szCs w:val="32"/>
                              </w:rPr>
                              <w:t>”</w:t>
                            </w:r>
                          </w:p>
                          <w:p w14:paraId="28E7D3CB" w14:textId="77777777" w:rsidR="007200A9" w:rsidRPr="00396E1F" w:rsidRDefault="007200A9" w:rsidP="007200A9">
                            <w:pPr>
                              <w:pBdr>
                                <w:top w:val="single" w:sz="24" w:space="8" w:color="156082" w:themeColor="accent1"/>
                                <w:bottom w:val="single" w:sz="24" w:space="8" w:color="156082" w:themeColor="accent1"/>
                              </w:pBdr>
                              <w:spacing w:after="0"/>
                              <w:rPr>
                                <w:i/>
                                <w:iCs/>
                                <w:color w:val="156082" w:themeColor="accent1"/>
                                <w:sz w:val="32"/>
                                <w:szCs w:val="32"/>
                              </w:rPr>
                            </w:pPr>
                          </w:p>
                          <w:p w14:paraId="60B4CD1D" w14:textId="77777777" w:rsidR="007200A9" w:rsidRPr="00396E1F" w:rsidRDefault="007200A9" w:rsidP="007200A9">
                            <w:pPr>
                              <w:pBdr>
                                <w:top w:val="single" w:sz="24" w:space="8" w:color="156082" w:themeColor="accent1"/>
                                <w:bottom w:val="single" w:sz="24" w:space="8" w:color="156082" w:themeColor="accent1"/>
                              </w:pBdr>
                              <w:spacing w:after="0"/>
                              <w:rPr>
                                <w:i/>
                                <w:iCs/>
                                <w:color w:val="156082" w:themeColor="accent1"/>
                                <w:sz w:val="32"/>
                                <w:szCs w:val="32"/>
                                <w:lang w:val="en-US"/>
                              </w:rPr>
                            </w:pPr>
                            <w:r w:rsidRPr="007B2428">
                              <w:rPr>
                                <w:i/>
                                <w:iCs/>
                                <w:color w:val="156082" w:themeColor="accent1"/>
                                <w:sz w:val="32"/>
                                <w:szCs w:val="32"/>
                                <w:lang w:val="en-US"/>
                              </w:rPr>
                              <w:t xml:space="preserve"> – HRLSC Client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F15291" id="_x0000_s1038" type="#_x0000_t202" style="position:absolute;margin-left:-2.25pt;margin-top:186pt;width:469.5pt;height:110.55pt;z-index:25169306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" filled="f" stroked="f">
                <v:textbox style="mso-fit-shape-to-text:t">
                  <w:txbxContent>
                    <w:p w14:paraId="5FD92831" w14:textId="5E7054DB" w:rsidR="007200A9" w:rsidRPr="00396E1F" w:rsidRDefault="00F60A35" w:rsidP="007200A9">
                      <w:pPr>
                        <w:pBdr>
                          <w:top w:val="single" w:sz="24" w:space="8" w:color="156082" w:themeColor="accent1"/>
                          <w:bottom w:val="single" w:sz="24" w:space="8" w:color="156082" w:themeColor="accent1"/>
                        </w:pBdr>
                        <w:spacing w:after="0"/>
                        <w:rPr>
                          <w:i/>
                          <w:iCs/>
                          <w:color w:val="156082" w:themeColor="accent1"/>
                          <w:sz w:val="32"/>
                          <w:szCs w:val="32"/>
                        </w:rPr>
                      </w:pPr>
                      <w:r>
                        <w:rPr>
                          <w:i/>
                          <w:iCs/>
                          <w:color w:val="156082" w:themeColor="accent1"/>
                          <w:sz w:val="32"/>
                          <w:szCs w:val="32"/>
                          <w:lang w:val="en-US"/>
                        </w:rPr>
                        <w:t>’’</w:t>
                      </w:r>
                      <w:r w:rsidR="007200A9" w:rsidRPr="007B2428">
                        <w:rPr>
                          <w:i/>
                          <w:iCs/>
                          <w:color w:val="156082" w:themeColor="accent1"/>
                          <w:sz w:val="32"/>
                          <w:szCs w:val="32"/>
                        </w:rPr>
                        <w:t>Thanks to your team tireless efforts, I can now move forward with a renewed sense of hope and confidence. Your teamwork has had a life-changing impact on me, and words cannot fully capture the depth of my gratitude.</w:t>
                      </w:r>
                      <w:r w:rsidR="00396E1F">
                        <w:rPr>
                          <w:i/>
                          <w:iCs/>
                          <w:color w:val="156082" w:themeColor="accent1"/>
                          <w:sz w:val="32"/>
                          <w:szCs w:val="32"/>
                        </w:rPr>
                        <w:t>”</w:t>
                      </w:r>
                    </w:p>
                    <w:p w14:paraId="28E7D3CB" w14:textId="77777777" w:rsidR="007200A9" w:rsidRPr="00396E1F" w:rsidRDefault="007200A9" w:rsidP="007200A9">
                      <w:pPr>
                        <w:pBdr>
                          <w:top w:val="single" w:sz="24" w:space="8" w:color="156082" w:themeColor="accent1"/>
                          <w:bottom w:val="single" w:sz="24" w:space="8" w:color="156082" w:themeColor="accent1"/>
                        </w:pBdr>
                        <w:spacing w:after="0"/>
                        <w:rPr>
                          <w:i/>
                          <w:iCs/>
                          <w:color w:val="156082" w:themeColor="accent1"/>
                          <w:sz w:val="32"/>
                          <w:szCs w:val="32"/>
                        </w:rPr>
                      </w:pPr>
                    </w:p>
                    <w:p w14:paraId="60B4CD1D" w14:textId="77777777" w:rsidR="007200A9" w:rsidRPr="00396E1F" w:rsidRDefault="007200A9" w:rsidP="007200A9">
                      <w:pPr>
                        <w:pBdr>
                          <w:top w:val="single" w:sz="24" w:space="8" w:color="156082" w:themeColor="accent1"/>
                          <w:bottom w:val="single" w:sz="24" w:space="8" w:color="156082" w:themeColor="accent1"/>
                        </w:pBdr>
                        <w:spacing w:after="0"/>
                        <w:rPr>
                          <w:i/>
                          <w:iCs/>
                          <w:color w:val="156082" w:themeColor="accent1"/>
                          <w:sz w:val="32"/>
                          <w:szCs w:val="32"/>
                          <w:lang w:val="en-US"/>
                        </w:rPr>
                      </w:pPr>
                      <w:r w:rsidRPr="007B2428">
                        <w:rPr>
                          <w:i/>
                          <w:iCs/>
                          <w:color w:val="156082" w:themeColor="accent1"/>
                          <w:sz w:val="32"/>
                          <w:szCs w:val="32"/>
                          <w:lang w:val="en-US"/>
                        </w:rPr>
                        <w:t xml:space="preserve"> – HRLSC Client</w:t>
                      </w:r>
                    </w:p>
                  </w:txbxContent>
                </v:textbox>
                <w10:wrap type="square" anchorx="margin" anchory="margin"/>
              </v:shape>
            </w:pict>
          </mc:Fallback>
        </mc:AlternateContent>
      </w:r>
      <w:r w:rsidR="000C779F" w:rsidRPr="00CB687E">
        <w:br w:type="page"/>
      </w:r>
    </w:p>
    <w:p w14:paraId="49685902" w14:textId="52E38509" w:rsidR="00ED4847" w:rsidRPr="00CB687E" w:rsidRDefault="00ED4847" w:rsidP="00ED4847">
      <w:pPr>
        <w:rPr>
          <w:rFonts w:asciiTheme="majorHAnsi" w:eastAsiaTheme="majorEastAsia" w:hAnsiTheme="majorHAnsi" w:cstheme="majorBidi"/>
          <w:color w:val="0F4761" w:themeColor="accent1" w:themeShade="BF"/>
          <w:sz w:val="40"/>
          <w:szCs w:val="40"/>
        </w:rPr>
        <w:sectPr w:rsidR="00ED4847" w:rsidRPr="00CB687E" w:rsidSect="009C639F">
          <w:footerReference w:type="first" r:id="rId75"/>
          <w:pgSz w:w="12240" w:h="15840"/>
          <w:pgMar w:top="1440" w:right="1440" w:bottom="1440" w:left="1440" w:header="720" w:footer="720" w:gutter="0"/>
          <w:cols w:space="720"/>
          <w:titlePg/>
          <w:docGrid w:linePitch="360"/>
        </w:sectPr>
      </w:pPr>
    </w:p>
    <w:p w14:paraId="75C4B216" w14:textId="0BA0E268" w:rsidR="000C779F" w:rsidRPr="00CB687E" w:rsidRDefault="000C779F" w:rsidP="00D35098">
      <w:pPr>
        <w:pStyle w:val="Heading1"/>
        <w:numPr>
          <w:ilvl w:val="0"/>
          <w:numId w:val="13"/>
        </w:numPr>
      </w:pPr>
      <w:bookmarkStart w:id="140" w:name="_Toc204090324"/>
      <w:r w:rsidRPr="00CB687E">
        <w:lastRenderedPageBreak/>
        <w:t>HRLSC Board of Directors Remunerations</w:t>
      </w:r>
      <w:bookmarkEnd w:id="140"/>
    </w:p>
    <w:p w14:paraId="31AA5E31" w14:textId="3F919963" w:rsidR="008233C1" w:rsidRPr="00CB687E" w:rsidRDefault="008233C1" w:rsidP="00202A90">
      <w:pPr>
        <w:pStyle w:val="Heading2"/>
      </w:pPr>
      <w:bookmarkStart w:id="141" w:name="_Toc201323058"/>
      <w:bookmarkStart w:id="142" w:name="_Toc204090325"/>
      <w:r w:rsidRPr="00CB687E">
        <w:t>2024</w:t>
      </w:r>
      <w:r w:rsidR="00A32434" w:rsidRPr="00A32434">
        <w:t>–</w:t>
      </w:r>
      <w:r w:rsidRPr="00CB687E">
        <w:t>2025 HRLSC Board Appointees</w:t>
      </w:r>
      <w:bookmarkEnd w:id="141"/>
      <w:bookmarkEnd w:id="142"/>
      <w:r w:rsidRPr="00CB687E">
        <w:t xml:space="preserve"> </w:t>
      </w:r>
    </w:p>
    <w:tbl>
      <w:tblPr>
        <w:tblStyle w:val="TableGrid"/>
        <w:tblW w:w="13178" w:type="dxa"/>
        <w:tblLayout w:type="fixed"/>
        <w:tblLook w:val="04A0" w:firstRow="1" w:lastRow="0" w:firstColumn="1" w:lastColumn="0" w:noHBand="0" w:noVBand="1"/>
      </w:tblPr>
      <w:tblGrid>
        <w:gridCol w:w="1276"/>
        <w:gridCol w:w="1559"/>
        <w:gridCol w:w="2268"/>
        <w:gridCol w:w="2268"/>
        <w:gridCol w:w="3823"/>
        <w:gridCol w:w="1984"/>
      </w:tblGrid>
      <w:tr w:rsidR="007D4E1B" w:rsidRPr="00CB687E" w14:paraId="2A4EEB19" w14:textId="77777777" w:rsidTr="00B74A3D">
        <w:trPr>
          <w:trHeight w:val="1627"/>
        </w:trPr>
        <w:tc>
          <w:tcPr>
            <w:tcW w:w="1276" w:type="dxa"/>
            <w:tcBorders>
              <w:bottom w:val="single" w:sz="48" w:space="0" w:color="auto"/>
            </w:tcBorders>
            <w:shd w:val="clear" w:color="auto" w:fill="F2F2F2" w:themeFill="background1" w:themeFillShade="F2"/>
            <w:vAlign w:val="center"/>
          </w:tcPr>
          <w:p w14:paraId="6FEC389E" w14:textId="2D200136" w:rsidR="008233C1" w:rsidRPr="00CB687E" w:rsidRDefault="008233C1" w:rsidP="00293742">
            <w:pPr>
              <w:rPr>
                <w:b/>
                <w:bCs/>
                <w:i/>
                <w:iCs/>
              </w:rPr>
            </w:pPr>
            <w:r w:rsidRPr="00CB687E">
              <w:rPr>
                <w:b/>
                <w:bCs/>
              </w:rPr>
              <w:t>Name</w:t>
            </w:r>
          </w:p>
        </w:tc>
        <w:tc>
          <w:tcPr>
            <w:tcW w:w="1559" w:type="dxa"/>
            <w:tcBorders>
              <w:bottom w:val="single" w:sz="48" w:space="0" w:color="auto"/>
            </w:tcBorders>
            <w:shd w:val="clear" w:color="auto" w:fill="F2F2F2" w:themeFill="background1" w:themeFillShade="F2"/>
            <w:vAlign w:val="center"/>
          </w:tcPr>
          <w:p w14:paraId="5444F5CA" w14:textId="15AD1C36" w:rsidR="008233C1" w:rsidRPr="00CB687E" w:rsidRDefault="008233C1" w:rsidP="00293742">
            <w:pPr>
              <w:rPr>
                <w:b/>
                <w:bCs/>
                <w:i/>
                <w:iCs/>
              </w:rPr>
            </w:pPr>
            <w:r w:rsidRPr="00CB687E">
              <w:rPr>
                <w:b/>
                <w:bCs/>
              </w:rPr>
              <w:t>Position</w:t>
            </w:r>
          </w:p>
        </w:tc>
        <w:tc>
          <w:tcPr>
            <w:tcW w:w="2268" w:type="dxa"/>
            <w:tcBorders>
              <w:bottom w:val="single" w:sz="48" w:space="0" w:color="auto"/>
            </w:tcBorders>
            <w:shd w:val="clear" w:color="auto" w:fill="F2F2F2" w:themeFill="background1" w:themeFillShade="F2"/>
            <w:vAlign w:val="center"/>
          </w:tcPr>
          <w:p w14:paraId="749631E7" w14:textId="2321CBCC" w:rsidR="008233C1" w:rsidRPr="00CB687E" w:rsidRDefault="008233C1" w:rsidP="00293742">
            <w:pPr>
              <w:rPr>
                <w:b/>
                <w:bCs/>
                <w:i/>
                <w:iCs/>
              </w:rPr>
            </w:pPr>
            <w:r w:rsidRPr="00CB687E">
              <w:rPr>
                <w:b/>
                <w:bCs/>
              </w:rPr>
              <w:t>Date First Appointed</w:t>
            </w:r>
          </w:p>
        </w:tc>
        <w:tc>
          <w:tcPr>
            <w:tcW w:w="2268" w:type="dxa"/>
            <w:tcBorders>
              <w:bottom w:val="single" w:sz="48" w:space="0" w:color="auto"/>
            </w:tcBorders>
            <w:shd w:val="clear" w:color="auto" w:fill="F2F2F2" w:themeFill="background1" w:themeFillShade="F2"/>
            <w:vAlign w:val="center"/>
          </w:tcPr>
          <w:p w14:paraId="41055DDC" w14:textId="62941598" w:rsidR="008233C1" w:rsidRPr="00CB687E" w:rsidRDefault="008233C1" w:rsidP="00293742">
            <w:pPr>
              <w:rPr>
                <w:b/>
                <w:bCs/>
                <w:i/>
                <w:iCs/>
              </w:rPr>
            </w:pPr>
            <w:r w:rsidRPr="00CB687E">
              <w:rPr>
                <w:b/>
                <w:bCs/>
              </w:rPr>
              <w:t>Current Term and Expiration Date</w:t>
            </w:r>
          </w:p>
        </w:tc>
        <w:tc>
          <w:tcPr>
            <w:tcW w:w="3823" w:type="dxa"/>
            <w:tcBorders>
              <w:bottom w:val="single" w:sz="48" w:space="0" w:color="auto"/>
            </w:tcBorders>
            <w:shd w:val="clear" w:color="auto" w:fill="F2F2F2" w:themeFill="background1" w:themeFillShade="F2"/>
            <w:vAlign w:val="center"/>
          </w:tcPr>
          <w:p w14:paraId="05EE8CFA" w14:textId="77777777" w:rsidR="008233C1" w:rsidRPr="00CB687E" w:rsidRDefault="008233C1" w:rsidP="00293742">
            <w:pPr>
              <w:rPr>
                <w:b/>
                <w:bCs/>
                <w:i/>
                <w:iCs/>
              </w:rPr>
            </w:pPr>
            <w:r w:rsidRPr="00CB687E">
              <w:rPr>
                <w:b/>
                <w:bCs/>
              </w:rPr>
              <w:t>Board meeting attendance</w:t>
            </w:r>
          </w:p>
        </w:tc>
        <w:tc>
          <w:tcPr>
            <w:tcW w:w="1984" w:type="dxa"/>
            <w:tcBorders>
              <w:bottom w:val="single" w:sz="48" w:space="0" w:color="auto"/>
            </w:tcBorders>
            <w:shd w:val="clear" w:color="auto" w:fill="F2F2F2" w:themeFill="background1" w:themeFillShade="F2"/>
            <w:vAlign w:val="center"/>
          </w:tcPr>
          <w:p w14:paraId="2BA3144F" w14:textId="660D42CE" w:rsidR="008233C1" w:rsidRPr="00CB687E" w:rsidRDefault="008233C1" w:rsidP="00293742">
            <w:pPr>
              <w:rPr>
                <w:b/>
                <w:bCs/>
                <w:i/>
                <w:iCs/>
              </w:rPr>
            </w:pPr>
            <w:r w:rsidRPr="00CB687E">
              <w:rPr>
                <w:b/>
                <w:bCs/>
              </w:rPr>
              <w:t>Total annual remuneration (per diem)</w:t>
            </w:r>
          </w:p>
        </w:tc>
      </w:tr>
      <w:tr w:rsidR="007D4E1B" w:rsidRPr="00CB687E" w14:paraId="0DAC4041" w14:textId="77777777" w:rsidTr="00B74A3D">
        <w:tc>
          <w:tcPr>
            <w:tcW w:w="1276" w:type="dxa"/>
            <w:tcBorders>
              <w:top w:val="single" w:sz="48" w:space="0" w:color="auto"/>
              <w:right w:val="single" w:sz="24" w:space="0" w:color="auto"/>
            </w:tcBorders>
            <w:vAlign w:val="center"/>
          </w:tcPr>
          <w:p w14:paraId="309DF41A" w14:textId="77777777" w:rsidR="008233C1" w:rsidRPr="00CB687E" w:rsidRDefault="008233C1" w:rsidP="00293742">
            <w:pPr>
              <w:rPr>
                <w:rFonts w:cs="Tahoma"/>
                <w:i/>
                <w:iCs/>
              </w:rPr>
            </w:pPr>
            <w:r w:rsidRPr="00CB687E">
              <w:rPr>
                <w:rFonts w:cs="Tahoma"/>
              </w:rPr>
              <w:t>Ena Chadha</w:t>
            </w:r>
          </w:p>
        </w:tc>
        <w:tc>
          <w:tcPr>
            <w:tcW w:w="1559" w:type="dxa"/>
            <w:tcBorders>
              <w:top w:val="single" w:sz="48" w:space="0" w:color="auto"/>
              <w:left w:val="single" w:sz="24" w:space="0" w:color="auto"/>
            </w:tcBorders>
            <w:vAlign w:val="center"/>
          </w:tcPr>
          <w:p w14:paraId="3EF258BF" w14:textId="219B6C67" w:rsidR="008233C1" w:rsidRPr="00CB687E" w:rsidRDefault="008233C1" w:rsidP="00293742">
            <w:pPr>
              <w:rPr>
                <w:rFonts w:cs="Tahoma"/>
              </w:rPr>
            </w:pPr>
            <w:r w:rsidRPr="00CB687E">
              <w:rPr>
                <w:rFonts w:cs="Tahoma"/>
              </w:rPr>
              <w:t>Chair</w:t>
            </w:r>
          </w:p>
        </w:tc>
        <w:tc>
          <w:tcPr>
            <w:tcW w:w="2268" w:type="dxa"/>
            <w:tcBorders>
              <w:top w:val="single" w:sz="48" w:space="0" w:color="auto"/>
            </w:tcBorders>
            <w:vAlign w:val="center"/>
          </w:tcPr>
          <w:p w14:paraId="724378DE" w14:textId="59CE68E5" w:rsidR="008233C1" w:rsidRPr="00CB687E" w:rsidRDefault="008233C1" w:rsidP="00293742">
            <w:pPr>
              <w:rPr>
                <w:rFonts w:cs="Tahoma"/>
              </w:rPr>
            </w:pPr>
            <w:r w:rsidRPr="00CB687E">
              <w:rPr>
                <w:rFonts w:cs="Tahoma"/>
              </w:rPr>
              <w:t>February 21, 2018</w:t>
            </w:r>
          </w:p>
        </w:tc>
        <w:tc>
          <w:tcPr>
            <w:tcW w:w="2268" w:type="dxa"/>
            <w:tcBorders>
              <w:top w:val="single" w:sz="48" w:space="0" w:color="auto"/>
            </w:tcBorders>
            <w:vAlign w:val="center"/>
          </w:tcPr>
          <w:p w14:paraId="63B47642" w14:textId="59CC6B1E" w:rsidR="008233C1" w:rsidRPr="00CB687E" w:rsidRDefault="008233C1" w:rsidP="00293742">
            <w:pPr>
              <w:rPr>
                <w:rFonts w:cs="Tahoma"/>
              </w:rPr>
            </w:pPr>
            <w:r w:rsidRPr="00CB687E">
              <w:rPr>
                <w:rFonts w:cs="Tahoma"/>
              </w:rPr>
              <w:t>August 19, 2024 – August 18, 2026</w:t>
            </w:r>
          </w:p>
        </w:tc>
        <w:tc>
          <w:tcPr>
            <w:tcW w:w="3823" w:type="dxa"/>
            <w:tcBorders>
              <w:top w:val="single" w:sz="48" w:space="0" w:color="auto"/>
            </w:tcBorders>
            <w:vAlign w:val="center"/>
          </w:tcPr>
          <w:p w14:paraId="1D29B66B" w14:textId="3CB8FB9E" w:rsidR="008233C1" w:rsidRPr="00CB687E" w:rsidRDefault="008233C1" w:rsidP="00293742">
            <w:pPr>
              <w:rPr>
                <w:rFonts w:cs="Tahoma"/>
              </w:rPr>
            </w:pPr>
            <w:r w:rsidRPr="00CB687E">
              <w:rPr>
                <w:rFonts w:cs="Tahoma"/>
              </w:rPr>
              <w:t xml:space="preserve">May 28, 2024 </w:t>
            </w:r>
          </w:p>
          <w:p w14:paraId="6447E4AF" w14:textId="77777777" w:rsidR="008233C1" w:rsidRPr="00CB687E" w:rsidRDefault="008233C1" w:rsidP="00293742">
            <w:pPr>
              <w:rPr>
                <w:rFonts w:cs="Tahoma"/>
              </w:rPr>
            </w:pPr>
            <w:r w:rsidRPr="00CB687E">
              <w:rPr>
                <w:rFonts w:cs="Tahoma"/>
              </w:rPr>
              <w:t>July 23, 2024</w:t>
            </w:r>
          </w:p>
          <w:p w14:paraId="351D0828" w14:textId="77777777" w:rsidR="008233C1" w:rsidRPr="00CB687E" w:rsidRDefault="008233C1" w:rsidP="00293742">
            <w:pPr>
              <w:rPr>
                <w:rFonts w:cs="Tahoma"/>
              </w:rPr>
            </w:pPr>
            <w:r w:rsidRPr="00CB687E">
              <w:rPr>
                <w:rFonts w:cs="Tahoma"/>
              </w:rPr>
              <w:t>September 17, 2024</w:t>
            </w:r>
          </w:p>
          <w:p w14:paraId="35CEC6AA" w14:textId="77777777" w:rsidR="008233C1" w:rsidRPr="00CB687E" w:rsidRDefault="008233C1" w:rsidP="00293742">
            <w:pPr>
              <w:rPr>
                <w:rFonts w:cs="Tahoma"/>
              </w:rPr>
            </w:pPr>
            <w:r w:rsidRPr="00CB687E">
              <w:rPr>
                <w:rFonts w:cs="Tahoma"/>
              </w:rPr>
              <w:t>October 24, 2024</w:t>
            </w:r>
          </w:p>
          <w:p w14:paraId="58A84352" w14:textId="77777777" w:rsidR="008233C1" w:rsidRPr="00CB687E" w:rsidRDefault="008233C1" w:rsidP="00293742">
            <w:pPr>
              <w:rPr>
                <w:rFonts w:cs="Tahoma"/>
              </w:rPr>
            </w:pPr>
            <w:r w:rsidRPr="00CB687E">
              <w:rPr>
                <w:rFonts w:cs="Tahoma"/>
              </w:rPr>
              <w:t>December 10, 2024</w:t>
            </w:r>
          </w:p>
          <w:p w14:paraId="4A2B7947" w14:textId="77777777" w:rsidR="008233C1" w:rsidRPr="00CB687E" w:rsidRDefault="008233C1" w:rsidP="00293742">
            <w:pPr>
              <w:rPr>
                <w:rFonts w:cs="Tahoma"/>
              </w:rPr>
            </w:pPr>
            <w:r w:rsidRPr="00CB687E">
              <w:rPr>
                <w:rFonts w:cs="Tahoma"/>
              </w:rPr>
              <w:t>February 25, 2025</w:t>
            </w:r>
          </w:p>
        </w:tc>
        <w:tc>
          <w:tcPr>
            <w:tcW w:w="1984" w:type="dxa"/>
            <w:tcBorders>
              <w:top w:val="single" w:sz="48" w:space="0" w:color="auto"/>
            </w:tcBorders>
            <w:vAlign w:val="center"/>
          </w:tcPr>
          <w:p w14:paraId="00D8867E" w14:textId="77777777" w:rsidR="008233C1" w:rsidRPr="00CB687E" w:rsidRDefault="008233C1" w:rsidP="00293742">
            <w:pPr>
              <w:rPr>
                <w:rFonts w:cs="Tahoma"/>
              </w:rPr>
            </w:pPr>
            <w:r w:rsidRPr="00CB687E">
              <w:rPr>
                <w:rFonts w:cs="Tahoma"/>
              </w:rPr>
              <w:t>$35,431.60</w:t>
            </w:r>
          </w:p>
        </w:tc>
      </w:tr>
      <w:tr w:rsidR="00202A90" w:rsidRPr="00CB687E" w14:paraId="124D0CB4" w14:textId="77777777" w:rsidTr="00B74A3D">
        <w:tc>
          <w:tcPr>
            <w:tcW w:w="1276" w:type="dxa"/>
            <w:tcBorders>
              <w:right w:val="single" w:sz="24" w:space="0" w:color="auto"/>
            </w:tcBorders>
            <w:vAlign w:val="center"/>
          </w:tcPr>
          <w:p w14:paraId="2429C519" w14:textId="77777777" w:rsidR="008233C1" w:rsidRPr="00CB687E" w:rsidRDefault="008233C1" w:rsidP="00293742">
            <w:pPr>
              <w:rPr>
                <w:rFonts w:cs="Tahoma"/>
                <w:i/>
                <w:iCs/>
              </w:rPr>
            </w:pPr>
            <w:r w:rsidRPr="00CB687E">
              <w:rPr>
                <w:rFonts w:cs="Tahoma"/>
              </w:rPr>
              <w:t>Mary Joe Freire</w:t>
            </w:r>
          </w:p>
        </w:tc>
        <w:tc>
          <w:tcPr>
            <w:tcW w:w="1559" w:type="dxa"/>
            <w:tcBorders>
              <w:left w:val="single" w:sz="24" w:space="0" w:color="auto"/>
            </w:tcBorders>
            <w:vAlign w:val="center"/>
          </w:tcPr>
          <w:p w14:paraId="1AA13FE4" w14:textId="629A7020" w:rsidR="008233C1" w:rsidRPr="00CB687E" w:rsidRDefault="008233C1" w:rsidP="00293742">
            <w:pPr>
              <w:rPr>
                <w:rFonts w:cs="Tahoma"/>
              </w:rPr>
            </w:pPr>
            <w:r w:rsidRPr="00CB687E">
              <w:rPr>
                <w:rFonts w:cs="Tahoma"/>
              </w:rPr>
              <w:t>Vice-Chair</w:t>
            </w:r>
          </w:p>
        </w:tc>
        <w:tc>
          <w:tcPr>
            <w:tcW w:w="2268" w:type="dxa"/>
            <w:vAlign w:val="center"/>
          </w:tcPr>
          <w:p w14:paraId="371CCD71" w14:textId="77777777" w:rsidR="008233C1" w:rsidRPr="00CB687E" w:rsidRDefault="008233C1" w:rsidP="00293742">
            <w:pPr>
              <w:rPr>
                <w:rFonts w:cs="Tahoma"/>
              </w:rPr>
            </w:pPr>
            <w:r w:rsidRPr="00CB687E">
              <w:rPr>
                <w:rFonts w:cs="Tahoma"/>
              </w:rPr>
              <w:t>February 20, 2020</w:t>
            </w:r>
          </w:p>
        </w:tc>
        <w:tc>
          <w:tcPr>
            <w:tcW w:w="2268" w:type="dxa"/>
            <w:vAlign w:val="center"/>
          </w:tcPr>
          <w:p w14:paraId="7256B2F8" w14:textId="12364288" w:rsidR="008233C1" w:rsidRPr="00CB687E" w:rsidRDefault="008233C1" w:rsidP="00293742">
            <w:pPr>
              <w:rPr>
                <w:rFonts w:cs="Tahoma"/>
              </w:rPr>
            </w:pPr>
            <w:r w:rsidRPr="00CB687E">
              <w:rPr>
                <w:rFonts w:cs="Tahoma"/>
              </w:rPr>
              <w:t>July 22, 2024 – July 21, 2026</w:t>
            </w:r>
          </w:p>
        </w:tc>
        <w:tc>
          <w:tcPr>
            <w:tcW w:w="3823" w:type="dxa"/>
            <w:vAlign w:val="center"/>
          </w:tcPr>
          <w:p w14:paraId="031CCB29" w14:textId="77777777" w:rsidR="008233C1" w:rsidRPr="00CB687E" w:rsidRDefault="008233C1" w:rsidP="00293742">
            <w:pPr>
              <w:rPr>
                <w:rFonts w:cs="Tahoma"/>
              </w:rPr>
            </w:pPr>
            <w:r w:rsidRPr="00CB687E">
              <w:rPr>
                <w:rFonts w:cs="Tahoma"/>
              </w:rPr>
              <w:t xml:space="preserve">May 28, 2024 </w:t>
            </w:r>
          </w:p>
          <w:p w14:paraId="02AA8923" w14:textId="77777777" w:rsidR="008233C1" w:rsidRPr="00CB687E" w:rsidRDefault="008233C1" w:rsidP="00293742">
            <w:pPr>
              <w:rPr>
                <w:rFonts w:cs="Tahoma"/>
              </w:rPr>
            </w:pPr>
            <w:r w:rsidRPr="00CB687E">
              <w:rPr>
                <w:rFonts w:cs="Tahoma"/>
              </w:rPr>
              <w:t>July 23, 2024</w:t>
            </w:r>
          </w:p>
          <w:p w14:paraId="635BC1C2" w14:textId="77777777" w:rsidR="008233C1" w:rsidRPr="00CB687E" w:rsidRDefault="008233C1" w:rsidP="00293742">
            <w:pPr>
              <w:rPr>
                <w:rFonts w:cs="Tahoma"/>
              </w:rPr>
            </w:pPr>
            <w:r w:rsidRPr="00CB687E">
              <w:rPr>
                <w:rFonts w:cs="Tahoma"/>
              </w:rPr>
              <w:t>September 17, 2024</w:t>
            </w:r>
          </w:p>
          <w:p w14:paraId="5225093C" w14:textId="77777777" w:rsidR="008233C1" w:rsidRPr="00CB687E" w:rsidRDefault="008233C1" w:rsidP="00293742">
            <w:pPr>
              <w:rPr>
                <w:rFonts w:cs="Tahoma"/>
              </w:rPr>
            </w:pPr>
            <w:r w:rsidRPr="00CB687E">
              <w:rPr>
                <w:rFonts w:cs="Tahoma"/>
              </w:rPr>
              <w:t>October 24, 2024</w:t>
            </w:r>
          </w:p>
          <w:p w14:paraId="71E02C38" w14:textId="77777777" w:rsidR="008233C1" w:rsidRPr="00CB687E" w:rsidRDefault="008233C1" w:rsidP="00293742">
            <w:pPr>
              <w:rPr>
                <w:rFonts w:cs="Tahoma"/>
              </w:rPr>
            </w:pPr>
            <w:r w:rsidRPr="00CB687E">
              <w:rPr>
                <w:rFonts w:cs="Tahoma"/>
              </w:rPr>
              <w:t>December 10, 2024</w:t>
            </w:r>
          </w:p>
          <w:p w14:paraId="400D4FFD" w14:textId="77777777" w:rsidR="008233C1" w:rsidRPr="00CB687E" w:rsidRDefault="008233C1" w:rsidP="00293742">
            <w:pPr>
              <w:rPr>
                <w:rFonts w:cs="Tahoma"/>
              </w:rPr>
            </w:pPr>
            <w:r w:rsidRPr="00CB687E">
              <w:rPr>
                <w:rFonts w:cs="Tahoma"/>
              </w:rPr>
              <w:t>February 25, 2025</w:t>
            </w:r>
          </w:p>
        </w:tc>
        <w:tc>
          <w:tcPr>
            <w:tcW w:w="1984" w:type="dxa"/>
            <w:vAlign w:val="center"/>
          </w:tcPr>
          <w:p w14:paraId="59C26943" w14:textId="77777777" w:rsidR="008233C1" w:rsidRPr="00CB687E" w:rsidRDefault="008233C1" w:rsidP="00293742">
            <w:pPr>
              <w:rPr>
                <w:rFonts w:cs="Tahoma"/>
              </w:rPr>
            </w:pPr>
            <w:r w:rsidRPr="00CB687E">
              <w:rPr>
                <w:rFonts w:cs="Tahoma"/>
              </w:rPr>
              <w:t>$4,312.50</w:t>
            </w:r>
          </w:p>
        </w:tc>
      </w:tr>
      <w:tr w:rsidR="007D4E1B" w:rsidRPr="00CB687E" w14:paraId="20E63A09" w14:textId="77777777" w:rsidTr="00B74A3D">
        <w:tc>
          <w:tcPr>
            <w:tcW w:w="1276" w:type="dxa"/>
            <w:tcBorders>
              <w:right w:val="single" w:sz="24" w:space="0" w:color="auto"/>
            </w:tcBorders>
            <w:vAlign w:val="center"/>
          </w:tcPr>
          <w:p w14:paraId="30ED154E" w14:textId="77777777" w:rsidR="008233C1" w:rsidRPr="00CB687E" w:rsidRDefault="008233C1" w:rsidP="00293742">
            <w:pPr>
              <w:rPr>
                <w:rFonts w:cs="Tahoma"/>
                <w:i/>
                <w:iCs/>
              </w:rPr>
            </w:pPr>
            <w:r w:rsidRPr="00CB687E">
              <w:rPr>
                <w:rFonts w:cs="Tahoma"/>
              </w:rPr>
              <w:t>Martial Moreau</w:t>
            </w:r>
          </w:p>
        </w:tc>
        <w:tc>
          <w:tcPr>
            <w:tcW w:w="1559" w:type="dxa"/>
            <w:tcBorders>
              <w:left w:val="single" w:sz="24" w:space="0" w:color="auto"/>
            </w:tcBorders>
            <w:vAlign w:val="center"/>
          </w:tcPr>
          <w:p w14:paraId="34C71308" w14:textId="46A30CB6" w:rsidR="008233C1" w:rsidRPr="00CB687E" w:rsidRDefault="008233C1" w:rsidP="00293742">
            <w:pPr>
              <w:rPr>
                <w:rFonts w:cs="Tahoma"/>
              </w:rPr>
            </w:pPr>
            <w:r w:rsidRPr="00CB687E">
              <w:rPr>
                <w:rFonts w:cs="Tahoma"/>
              </w:rPr>
              <w:t>Treasurer</w:t>
            </w:r>
          </w:p>
        </w:tc>
        <w:tc>
          <w:tcPr>
            <w:tcW w:w="2268" w:type="dxa"/>
            <w:vAlign w:val="center"/>
          </w:tcPr>
          <w:p w14:paraId="5431D998" w14:textId="77777777" w:rsidR="008233C1" w:rsidRPr="00CB687E" w:rsidRDefault="008233C1" w:rsidP="00293742">
            <w:pPr>
              <w:rPr>
                <w:rFonts w:cs="Tahoma"/>
              </w:rPr>
            </w:pPr>
            <w:r w:rsidRPr="00CB687E">
              <w:rPr>
                <w:rFonts w:cs="Tahoma"/>
              </w:rPr>
              <w:t>May 26, 2020</w:t>
            </w:r>
          </w:p>
        </w:tc>
        <w:tc>
          <w:tcPr>
            <w:tcW w:w="2268" w:type="dxa"/>
            <w:vAlign w:val="center"/>
          </w:tcPr>
          <w:p w14:paraId="12839500" w14:textId="782B6985" w:rsidR="008233C1" w:rsidRPr="00CB687E" w:rsidRDefault="008233C1" w:rsidP="00293742">
            <w:pPr>
              <w:rPr>
                <w:rFonts w:cs="Tahoma"/>
              </w:rPr>
            </w:pPr>
            <w:r w:rsidRPr="00CB687E">
              <w:rPr>
                <w:rFonts w:cs="Tahoma"/>
              </w:rPr>
              <w:t>May 26, 2025 – May 25, 2026</w:t>
            </w:r>
          </w:p>
        </w:tc>
        <w:tc>
          <w:tcPr>
            <w:tcW w:w="3823" w:type="dxa"/>
            <w:vAlign w:val="center"/>
          </w:tcPr>
          <w:p w14:paraId="5CF7DF90" w14:textId="77777777" w:rsidR="008233C1" w:rsidRPr="00CB687E" w:rsidRDefault="008233C1" w:rsidP="00293742">
            <w:pPr>
              <w:rPr>
                <w:rFonts w:cs="Tahoma"/>
              </w:rPr>
            </w:pPr>
            <w:r w:rsidRPr="00CB687E">
              <w:rPr>
                <w:rFonts w:cs="Tahoma"/>
              </w:rPr>
              <w:t xml:space="preserve">May 28, 2024 </w:t>
            </w:r>
          </w:p>
          <w:p w14:paraId="2C488ADA" w14:textId="77777777" w:rsidR="008233C1" w:rsidRPr="00CB687E" w:rsidRDefault="008233C1" w:rsidP="00293742">
            <w:pPr>
              <w:rPr>
                <w:rFonts w:cs="Tahoma"/>
              </w:rPr>
            </w:pPr>
            <w:r w:rsidRPr="00CB687E">
              <w:rPr>
                <w:rFonts w:cs="Tahoma"/>
              </w:rPr>
              <w:t>July 23, 2024</w:t>
            </w:r>
          </w:p>
          <w:p w14:paraId="7603AA7A" w14:textId="77777777" w:rsidR="008233C1" w:rsidRPr="00CB687E" w:rsidRDefault="008233C1" w:rsidP="00293742">
            <w:pPr>
              <w:rPr>
                <w:rFonts w:cs="Tahoma"/>
              </w:rPr>
            </w:pPr>
            <w:r w:rsidRPr="00CB687E">
              <w:rPr>
                <w:rFonts w:cs="Tahoma"/>
              </w:rPr>
              <w:t>September 17, 2024</w:t>
            </w:r>
          </w:p>
          <w:p w14:paraId="05B00FFF" w14:textId="77777777" w:rsidR="008233C1" w:rsidRPr="00CB687E" w:rsidRDefault="008233C1" w:rsidP="00293742">
            <w:pPr>
              <w:rPr>
                <w:rFonts w:cs="Tahoma"/>
              </w:rPr>
            </w:pPr>
            <w:r w:rsidRPr="00CB687E">
              <w:rPr>
                <w:rFonts w:cs="Tahoma"/>
              </w:rPr>
              <w:t>October 24, 2024</w:t>
            </w:r>
          </w:p>
          <w:p w14:paraId="4E625EE9" w14:textId="77777777" w:rsidR="008233C1" w:rsidRPr="00CB687E" w:rsidRDefault="008233C1" w:rsidP="00293742">
            <w:pPr>
              <w:rPr>
                <w:rFonts w:cs="Tahoma"/>
              </w:rPr>
            </w:pPr>
            <w:r w:rsidRPr="00CB687E">
              <w:rPr>
                <w:rFonts w:cs="Tahoma"/>
              </w:rPr>
              <w:t>December 10, 2024</w:t>
            </w:r>
          </w:p>
          <w:p w14:paraId="2EDFF01B" w14:textId="77777777" w:rsidR="008233C1" w:rsidRPr="00CB687E" w:rsidRDefault="008233C1" w:rsidP="00293742">
            <w:pPr>
              <w:rPr>
                <w:rFonts w:cs="Tahoma"/>
              </w:rPr>
            </w:pPr>
            <w:r w:rsidRPr="00CB687E">
              <w:rPr>
                <w:rFonts w:cs="Tahoma"/>
              </w:rPr>
              <w:t>February 25, 2025</w:t>
            </w:r>
          </w:p>
        </w:tc>
        <w:tc>
          <w:tcPr>
            <w:tcW w:w="1984" w:type="dxa"/>
            <w:vAlign w:val="center"/>
          </w:tcPr>
          <w:p w14:paraId="600AFF05" w14:textId="77777777" w:rsidR="008233C1" w:rsidRPr="00CB687E" w:rsidRDefault="008233C1" w:rsidP="00293742">
            <w:pPr>
              <w:rPr>
                <w:rFonts w:cs="Tahoma"/>
              </w:rPr>
            </w:pPr>
            <w:r w:rsidRPr="00CB687E">
              <w:rPr>
                <w:rFonts w:cs="Tahoma"/>
              </w:rPr>
              <w:t>$7,912.13</w:t>
            </w:r>
          </w:p>
        </w:tc>
      </w:tr>
      <w:tr w:rsidR="00202A90" w:rsidRPr="00CB687E" w14:paraId="4201B03A" w14:textId="77777777" w:rsidTr="00B74A3D">
        <w:tc>
          <w:tcPr>
            <w:tcW w:w="1276" w:type="dxa"/>
            <w:tcBorders>
              <w:right w:val="single" w:sz="24" w:space="0" w:color="auto"/>
            </w:tcBorders>
            <w:vAlign w:val="center"/>
          </w:tcPr>
          <w:p w14:paraId="3B4D2F3B" w14:textId="77777777" w:rsidR="008233C1" w:rsidRPr="00CB687E" w:rsidRDefault="008233C1" w:rsidP="00293742">
            <w:pPr>
              <w:rPr>
                <w:rFonts w:cs="Tahoma"/>
                <w:i/>
                <w:iCs/>
              </w:rPr>
            </w:pPr>
            <w:r w:rsidRPr="00CB687E">
              <w:rPr>
                <w:rFonts w:cs="Tahoma"/>
              </w:rPr>
              <w:lastRenderedPageBreak/>
              <w:t>Evelyn Ball</w:t>
            </w:r>
          </w:p>
        </w:tc>
        <w:tc>
          <w:tcPr>
            <w:tcW w:w="1559" w:type="dxa"/>
            <w:tcBorders>
              <w:left w:val="single" w:sz="24" w:space="0" w:color="auto"/>
            </w:tcBorders>
            <w:vAlign w:val="center"/>
          </w:tcPr>
          <w:p w14:paraId="4518B3C9" w14:textId="347C177E" w:rsidR="008233C1" w:rsidRPr="00CB687E" w:rsidRDefault="008233C1" w:rsidP="00293742">
            <w:pPr>
              <w:rPr>
                <w:rFonts w:cs="Tahoma"/>
              </w:rPr>
            </w:pPr>
            <w:r w:rsidRPr="00CB687E">
              <w:rPr>
                <w:rFonts w:cs="Tahoma"/>
              </w:rPr>
              <w:t>Member</w:t>
            </w:r>
          </w:p>
        </w:tc>
        <w:tc>
          <w:tcPr>
            <w:tcW w:w="2268" w:type="dxa"/>
            <w:vAlign w:val="center"/>
          </w:tcPr>
          <w:p w14:paraId="5FB5F9F0" w14:textId="77777777" w:rsidR="008233C1" w:rsidRPr="00CB687E" w:rsidRDefault="008233C1" w:rsidP="00293742">
            <w:pPr>
              <w:rPr>
                <w:rFonts w:cs="Tahoma"/>
              </w:rPr>
            </w:pPr>
            <w:r w:rsidRPr="00CB687E">
              <w:rPr>
                <w:rFonts w:cs="Tahoma"/>
              </w:rPr>
              <w:t>June 11, 2020</w:t>
            </w:r>
          </w:p>
        </w:tc>
        <w:tc>
          <w:tcPr>
            <w:tcW w:w="2268" w:type="dxa"/>
            <w:vAlign w:val="center"/>
          </w:tcPr>
          <w:p w14:paraId="03092F40" w14:textId="179E0023" w:rsidR="008233C1" w:rsidRPr="00CB687E" w:rsidRDefault="008233C1" w:rsidP="00293742">
            <w:pPr>
              <w:rPr>
                <w:rFonts w:cs="Tahoma"/>
              </w:rPr>
            </w:pPr>
            <w:r w:rsidRPr="00CB687E">
              <w:rPr>
                <w:rFonts w:cs="Tahoma"/>
              </w:rPr>
              <w:t>June 11, 2025 – June 10, 2026</w:t>
            </w:r>
          </w:p>
        </w:tc>
        <w:tc>
          <w:tcPr>
            <w:tcW w:w="3823" w:type="dxa"/>
            <w:vAlign w:val="center"/>
          </w:tcPr>
          <w:p w14:paraId="12665AE2" w14:textId="77777777" w:rsidR="008233C1" w:rsidRPr="00CB687E" w:rsidRDefault="008233C1" w:rsidP="00293742">
            <w:pPr>
              <w:rPr>
                <w:rFonts w:cs="Tahoma"/>
              </w:rPr>
            </w:pPr>
            <w:r w:rsidRPr="00CB687E">
              <w:rPr>
                <w:rFonts w:cs="Tahoma"/>
              </w:rPr>
              <w:t xml:space="preserve">May 28, 2024 </w:t>
            </w:r>
          </w:p>
          <w:p w14:paraId="7BB93F28" w14:textId="77777777" w:rsidR="008233C1" w:rsidRPr="00CB687E" w:rsidRDefault="008233C1" w:rsidP="00293742">
            <w:pPr>
              <w:rPr>
                <w:rFonts w:cs="Tahoma"/>
              </w:rPr>
            </w:pPr>
            <w:r w:rsidRPr="00CB687E">
              <w:rPr>
                <w:rFonts w:cs="Tahoma"/>
              </w:rPr>
              <w:t>July 23, 2024</w:t>
            </w:r>
          </w:p>
          <w:p w14:paraId="0CB8D513" w14:textId="77777777" w:rsidR="008233C1" w:rsidRPr="00CB687E" w:rsidRDefault="008233C1" w:rsidP="00293742">
            <w:pPr>
              <w:rPr>
                <w:rFonts w:cs="Tahoma"/>
              </w:rPr>
            </w:pPr>
            <w:r w:rsidRPr="00CB687E">
              <w:rPr>
                <w:rFonts w:cs="Tahoma"/>
              </w:rPr>
              <w:t>September 17, 2024</w:t>
            </w:r>
          </w:p>
          <w:p w14:paraId="29D2F0FA" w14:textId="77777777" w:rsidR="008233C1" w:rsidRPr="00CB687E" w:rsidRDefault="008233C1" w:rsidP="00293742">
            <w:pPr>
              <w:rPr>
                <w:rFonts w:cs="Tahoma"/>
              </w:rPr>
            </w:pPr>
            <w:r w:rsidRPr="00CB687E">
              <w:rPr>
                <w:rFonts w:cs="Tahoma"/>
              </w:rPr>
              <w:t>December 10, 2024</w:t>
            </w:r>
          </w:p>
          <w:p w14:paraId="1C736DB4" w14:textId="77777777" w:rsidR="008233C1" w:rsidRPr="00CB687E" w:rsidRDefault="008233C1" w:rsidP="00293742">
            <w:pPr>
              <w:rPr>
                <w:rFonts w:cs="Tahoma"/>
              </w:rPr>
            </w:pPr>
            <w:r w:rsidRPr="00CB687E">
              <w:rPr>
                <w:rFonts w:cs="Tahoma"/>
              </w:rPr>
              <w:t>February 25, 2025</w:t>
            </w:r>
          </w:p>
        </w:tc>
        <w:tc>
          <w:tcPr>
            <w:tcW w:w="1984" w:type="dxa"/>
            <w:vAlign w:val="center"/>
          </w:tcPr>
          <w:p w14:paraId="134465CA" w14:textId="77777777" w:rsidR="008233C1" w:rsidRPr="00CB687E" w:rsidRDefault="008233C1" w:rsidP="00293742">
            <w:pPr>
              <w:rPr>
                <w:rFonts w:cs="Tahoma"/>
              </w:rPr>
            </w:pPr>
            <w:r w:rsidRPr="00CB687E">
              <w:rPr>
                <w:rFonts w:cs="Tahoma"/>
              </w:rPr>
              <w:t>$2,794.23</w:t>
            </w:r>
          </w:p>
        </w:tc>
      </w:tr>
      <w:tr w:rsidR="00202A90" w:rsidRPr="00CB687E" w14:paraId="5EB18ACE" w14:textId="77777777" w:rsidTr="00B74A3D">
        <w:tc>
          <w:tcPr>
            <w:tcW w:w="1276" w:type="dxa"/>
            <w:tcBorders>
              <w:right w:val="single" w:sz="24" w:space="0" w:color="auto"/>
            </w:tcBorders>
            <w:vAlign w:val="center"/>
          </w:tcPr>
          <w:p w14:paraId="55D2839A" w14:textId="77777777" w:rsidR="008233C1" w:rsidRPr="00CB687E" w:rsidRDefault="008233C1" w:rsidP="00293742">
            <w:pPr>
              <w:rPr>
                <w:rFonts w:cs="Tahoma"/>
                <w:i/>
                <w:iCs/>
              </w:rPr>
            </w:pPr>
            <w:r w:rsidRPr="00CB687E">
              <w:rPr>
                <w:rFonts w:cs="Tahoma"/>
              </w:rPr>
              <w:t>Sandi Bell</w:t>
            </w:r>
          </w:p>
        </w:tc>
        <w:tc>
          <w:tcPr>
            <w:tcW w:w="1559" w:type="dxa"/>
            <w:tcBorders>
              <w:left w:val="single" w:sz="24" w:space="0" w:color="auto"/>
            </w:tcBorders>
            <w:vAlign w:val="center"/>
          </w:tcPr>
          <w:p w14:paraId="55940E22" w14:textId="2377FD82" w:rsidR="008233C1" w:rsidRPr="00CB687E" w:rsidRDefault="008233C1" w:rsidP="00293742">
            <w:pPr>
              <w:rPr>
                <w:rFonts w:cs="Tahoma"/>
              </w:rPr>
            </w:pPr>
            <w:r w:rsidRPr="00CB687E">
              <w:rPr>
                <w:rFonts w:cs="Tahoma"/>
              </w:rPr>
              <w:t>Member and Cross-Appointee (OHRC)</w:t>
            </w:r>
          </w:p>
        </w:tc>
        <w:tc>
          <w:tcPr>
            <w:tcW w:w="2268" w:type="dxa"/>
            <w:vAlign w:val="center"/>
          </w:tcPr>
          <w:p w14:paraId="2BEF01AC" w14:textId="77777777" w:rsidR="008233C1" w:rsidRPr="00CB687E" w:rsidRDefault="008233C1" w:rsidP="00293742">
            <w:pPr>
              <w:rPr>
                <w:rFonts w:cs="Tahoma"/>
              </w:rPr>
            </w:pPr>
            <w:r w:rsidRPr="00CB687E">
              <w:rPr>
                <w:rFonts w:cs="Tahoma"/>
              </w:rPr>
              <w:t>March 23, 2023</w:t>
            </w:r>
          </w:p>
        </w:tc>
        <w:tc>
          <w:tcPr>
            <w:tcW w:w="2268" w:type="dxa"/>
            <w:vAlign w:val="center"/>
          </w:tcPr>
          <w:p w14:paraId="652F2BDB" w14:textId="2DCC166A" w:rsidR="008233C1" w:rsidRPr="00CB687E" w:rsidRDefault="008233C1" w:rsidP="00293742">
            <w:pPr>
              <w:rPr>
                <w:rFonts w:cs="Tahoma"/>
              </w:rPr>
            </w:pPr>
            <w:r w:rsidRPr="00CB687E">
              <w:rPr>
                <w:rFonts w:cs="Tahoma"/>
              </w:rPr>
              <w:t>March 23, 2025 – March 22, 2028</w:t>
            </w:r>
          </w:p>
        </w:tc>
        <w:tc>
          <w:tcPr>
            <w:tcW w:w="3823" w:type="dxa"/>
            <w:vAlign w:val="center"/>
          </w:tcPr>
          <w:p w14:paraId="5DB26AEA" w14:textId="77777777" w:rsidR="008233C1" w:rsidRPr="00CB687E" w:rsidRDefault="008233C1" w:rsidP="00293742">
            <w:pPr>
              <w:rPr>
                <w:rFonts w:cs="Tahoma"/>
              </w:rPr>
            </w:pPr>
            <w:r w:rsidRPr="00CB687E">
              <w:rPr>
                <w:rFonts w:cs="Tahoma"/>
              </w:rPr>
              <w:t xml:space="preserve">May 28, 2024 </w:t>
            </w:r>
          </w:p>
          <w:p w14:paraId="20BC849A" w14:textId="77777777" w:rsidR="008233C1" w:rsidRPr="00CB687E" w:rsidRDefault="008233C1" w:rsidP="00293742">
            <w:pPr>
              <w:rPr>
                <w:rFonts w:cs="Tahoma"/>
              </w:rPr>
            </w:pPr>
            <w:r w:rsidRPr="00CB687E">
              <w:rPr>
                <w:rFonts w:cs="Tahoma"/>
              </w:rPr>
              <w:t>July 23, 2024</w:t>
            </w:r>
          </w:p>
          <w:p w14:paraId="7B37C981" w14:textId="77777777" w:rsidR="008233C1" w:rsidRPr="00CB687E" w:rsidRDefault="008233C1" w:rsidP="00293742">
            <w:pPr>
              <w:rPr>
                <w:rFonts w:cs="Tahoma"/>
              </w:rPr>
            </w:pPr>
            <w:r w:rsidRPr="00CB687E">
              <w:rPr>
                <w:rFonts w:cs="Tahoma"/>
              </w:rPr>
              <w:t>September 17, 2024</w:t>
            </w:r>
          </w:p>
          <w:p w14:paraId="263A5798" w14:textId="77777777" w:rsidR="008233C1" w:rsidRPr="00CB687E" w:rsidRDefault="008233C1" w:rsidP="00293742">
            <w:pPr>
              <w:rPr>
                <w:rFonts w:cs="Tahoma"/>
              </w:rPr>
            </w:pPr>
            <w:r w:rsidRPr="00CB687E">
              <w:rPr>
                <w:rFonts w:cs="Tahoma"/>
              </w:rPr>
              <w:t>October 24, 2024</w:t>
            </w:r>
          </w:p>
          <w:p w14:paraId="273F3444" w14:textId="77777777" w:rsidR="008233C1" w:rsidRPr="00CB687E" w:rsidRDefault="008233C1" w:rsidP="00293742">
            <w:pPr>
              <w:rPr>
                <w:rFonts w:cs="Tahoma"/>
              </w:rPr>
            </w:pPr>
            <w:r w:rsidRPr="00CB687E">
              <w:rPr>
                <w:rFonts w:cs="Tahoma"/>
              </w:rPr>
              <w:t>December 10, 2024</w:t>
            </w:r>
          </w:p>
          <w:p w14:paraId="3EC4EA92" w14:textId="77777777" w:rsidR="008233C1" w:rsidRPr="00CB687E" w:rsidRDefault="008233C1" w:rsidP="00293742">
            <w:pPr>
              <w:rPr>
                <w:rFonts w:cs="Tahoma"/>
              </w:rPr>
            </w:pPr>
            <w:r w:rsidRPr="00CB687E">
              <w:rPr>
                <w:rFonts w:cs="Tahoma"/>
              </w:rPr>
              <w:t>February 25, 2025</w:t>
            </w:r>
          </w:p>
        </w:tc>
        <w:tc>
          <w:tcPr>
            <w:tcW w:w="1984" w:type="dxa"/>
            <w:vAlign w:val="center"/>
          </w:tcPr>
          <w:p w14:paraId="2367C306" w14:textId="77777777" w:rsidR="008233C1" w:rsidRPr="00CB687E" w:rsidRDefault="008233C1" w:rsidP="00293742">
            <w:pPr>
              <w:rPr>
                <w:rFonts w:cs="Tahoma"/>
              </w:rPr>
            </w:pPr>
            <w:r w:rsidRPr="00CB687E">
              <w:rPr>
                <w:rFonts w:cs="Tahoma"/>
              </w:rPr>
              <w:t>$3,485.02</w:t>
            </w:r>
          </w:p>
        </w:tc>
      </w:tr>
      <w:tr w:rsidR="007D4E1B" w:rsidRPr="00CB687E" w14:paraId="63DE5B1C" w14:textId="77777777" w:rsidTr="00B74A3D">
        <w:tc>
          <w:tcPr>
            <w:tcW w:w="1276" w:type="dxa"/>
            <w:tcBorders>
              <w:right w:val="single" w:sz="24" w:space="0" w:color="auto"/>
            </w:tcBorders>
            <w:vAlign w:val="center"/>
          </w:tcPr>
          <w:p w14:paraId="5C26E191" w14:textId="77777777" w:rsidR="008233C1" w:rsidRPr="00CB687E" w:rsidRDefault="008233C1" w:rsidP="00293742">
            <w:pPr>
              <w:rPr>
                <w:rFonts w:cs="Tahoma"/>
                <w:i/>
                <w:iCs/>
              </w:rPr>
            </w:pPr>
            <w:r w:rsidRPr="00CB687E">
              <w:rPr>
                <w:rFonts w:cs="Tahoma"/>
              </w:rPr>
              <w:t>Tamar Witelson</w:t>
            </w:r>
          </w:p>
        </w:tc>
        <w:tc>
          <w:tcPr>
            <w:tcW w:w="1559" w:type="dxa"/>
            <w:tcBorders>
              <w:left w:val="single" w:sz="24" w:space="0" w:color="auto"/>
            </w:tcBorders>
            <w:vAlign w:val="center"/>
          </w:tcPr>
          <w:p w14:paraId="5AA8649F" w14:textId="77777777" w:rsidR="008233C1" w:rsidRPr="00CB687E" w:rsidRDefault="008233C1" w:rsidP="00293742">
            <w:pPr>
              <w:rPr>
                <w:rFonts w:cs="Tahoma"/>
              </w:rPr>
            </w:pPr>
            <w:r w:rsidRPr="00CB687E">
              <w:rPr>
                <w:rFonts w:cs="Tahoma"/>
              </w:rPr>
              <w:t>Member</w:t>
            </w:r>
          </w:p>
        </w:tc>
        <w:tc>
          <w:tcPr>
            <w:tcW w:w="2268" w:type="dxa"/>
            <w:vAlign w:val="center"/>
          </w:tcPr>
          <w:p w14:paraId="092905A7" w14:textId="77777777" w:rsidR="008233C1" w:rsidRPr="00CB687E" w:rsidRDefault="008233C1" w:rsidP="00293742">
            <w:pPr>
              <w:rPr>
                <w:rFonts w:cs="Tahoma"/>
                <w:color w:val="212529"/>
              </w:rPr>
            </w:pPr>
            <w:r w:rsidRPr="00CB687E">
              <w:rPr>
                <w:rFonts w:cs="Tahoma"/>
              </w:rPr>
              <w:t>February 8, 2018</w:t>
            </w:r>
          </w:p>
        </w:tc>
        <w:tc>
          <w:tcPr>
            <w:tcW w:w="2268" w:type="dxa"/>
            <w:vAlign w:val="center"/>
          </w:tcPr>
          <w:p w14:paraId="49417E8F" w14:textId="19218D2D" w:rsidR="008233C1" w:rsidRPr="00CB687E" w:rsidRDefault="008233C1" w:rsidP="00293742">
            <w:pPr>
              <w:rPr>
                <w:rFonts w:cs="Tahoma"/>
                <w:color w:val="212529"/>
              </w:rPr>
            </w:pPr>
            <w:r w:rsidRPr="00CB687E">
              <w:rPr>
                <w:rFonts w:cs="Tahoma"/>
                <w:color w:val="212529"/>
              </w:rPr>
              <w:t>February 20, 2025 – February 19, 2028</w:t>
            </w:r>
          </w:p>
        </w:tc>
        <w:tc>
          <w:tcPr>
            <w:tcW w:w="3823" w:type="dxa"/>
            <w:vAlign w:val="center"/>
          </w:tcPr>
          <w:p w14:paraId="70A10159" w14:textId="77777777" w:rsidR="008233C1" w:rsidRPr="00CB687E" w:rsidRDefault="008233C1" w:rsidP="00293742">
            <w:pPr>
              <w:rPr>
                <w:rFonts w:cs="Tahoma"/>
              </w:rPr>
            </w:pPr>
            <w:r w:rsidRPr="00CB687E">
              <w:rPr>
                <w:rFonts w:cs="Tahoma"/>
              </w:rPr>
              <w:t xml:space="preserve">May 28, 2024 </w:t>
            </w:r>
          </w:p>
          <w:p w14:paraId="6BBDA585" w14:textId="77777777" w:rsidR="008233C1" w:rsidRPr="00CB687E" w:rsidRDefault="008233C1" w:rsidP="00293742">
            <w:pPr>
              <w:rPr>
                <w:rFonts w:cs="Tahoma"/>
              </w:rPr>
            </w:pPr>
            <w:r w:rsidRPr="00CB687E">
              <w:rPr>
                <w:rFonts w:cs="Tahoma"/>
              </w:rPr>
              <w:t>July 23, 2024</w:t>
            </w:r>
          </w:p>
          <w:p w14:paraId="6583D8A0" w14:textId="77777777" w:rsidR="008233C1" w:rsidRPr="00CB687E" w:rsidRDefault="008233C1" w:rsidP="00293742">
            <w:pPr>
              <w:rPr>
                <w:rFonts w:cs="Tahoma"/>
              </w:rPr>
            </w:pPr>
            <w:r w:rsidRPr="00CB687E">
              <w:rPr>
                <w:rFonts w:cs="Tahoma"/>
              </w:rPr>
              <w:t>September 17, 2024</w:t>
            </w:r>
          </w:p>
          <w:p w14:paraId="0E1A4EF7" w14:textId="77777777" w:rsidR="008233C1" w:rsidRPr="00CB687E" w:rsidRDefault="008233C1" w:rsidP="00293742">
            <w:pPr>
              <w:rPr>
                <w:rFonts w:cs="Tahoma"/>
              </w:rPr>
            </w:pPr>
            <w:r w:rsidRPr="00CB687E">
              <w:rPr>
                <w:rFonts w:cs="Tahoma"/>
              </w:rPr>
              <w:t>October 24, 2024</w:t>
            </w:r>
          </w:p>
          <w:p w14:paraId="22540F3B" w14:textId="77777777" w:rsidR="008233C1" w:rsidRPr="00CB687E" w:rsidRDefault="008233C1" w:rsidP="00293742">
            <w:pPr>
              <w:rPr>
                <w:rFonts w:cs="Tahoma"/>
              </w:rPr>
            </w:pPr>
            <w:r w:rsidRPr="00CB687E">
              <w:rPr>
                <w:rFonts w:cs="Tahoma"/>
              </w:rPr>
              <w:t>December 10, 2024</w:t>
            </w:r>
          </w:p>
          <w:p w14:paraId="0DD91870" w14:textId="77777777" w:rsidR="008233C1" w:rsidRPr="00CB687E" w:rsidRDefault="008233C1" w:rsidP="00293742">
            <w:pPr>
              <w:rPr>
                <w:rFonts w:cs="Tahoma"/>
              </w:rPr>
            </w:pPr>
            <w:r w:rsidRPr="00CB687E">
              <w:rPr>
                <w:rFonts w:cs="Tahoma"/>
              </w:rPr>
              <w:t>February 25, 2025</w:t>
            </w:r>
          </w:p>
        </w:tc>
        <w:tc>
          <w:tcPr>
            <w:tcW w:w="1984" w:type="dxa"/>
            <w:vAlign w:val="center"/>
          </w:tcPr>
          <w:p w14:paraId="5C8B3789" w14:textId="77777777" w:rsidR="008233C1" w:rsidRPr="00CB687E" w:rsidRDefault="008233C1" w:rsidP="00293742">
            <w:pPr>
              <w:rPr>
                <w:rFonts w:cs="Tahoma"/>
              </w:rPr>
            </w:pPr>
            <w:r w:rsidRPr="00CB687E">
              <w:rPr>
                <w:rFonts w:cs="Tahoma"/>
              </w:rPr>
              <w:t>$3,000.00</w:t>
            </w:r>
          </w:p>
        </w:tc>
      </w:tr>
      <w:tr w:rsidR="00202A90" w:rsidRPr="00CB687E" w14:paraId="338285A8" w14:textId="77777777" w:rsidTr="00B74A3D">
        <w:tc>
          <w:tcPr>
            <w:tcW w:w="1276" w:type="dxa"/>
            <w:tcBorders>
              <w:right w:val="single" w:sz="24" w:space="0" w:color="auto"/>
            </w:tcBorders>
            <w:vAlign w:val="center"/>
          </w:tcPr>
          <w:p w14:paraId="645A20EE" w14:textId="77777777" w:rsidR="008233C1" w:rsidRPr="00CB687E" w:rsidRDefault="008233C1" w:rsidP="00293742">
            <w:pPr>
              <w:rPr>
                <w:rFonts w:cs="Tahoma"/>
                <w:i/>
                <w:iCs/>
              </w:rPr>
            </w:pPr>
            <w:r w:rsidRPr="00CB687E">
              <w:rPr>
                <w:rFonts w:cs="Tahoma"/>
              </w:rPr>
              <w:t>Michelle Tan</w:t>
            </w:r>
          </w:p>
        </w:tc>
        <w:tc>
          <w:tcPr>
            <w:tcW w:w="1559" w:type="dxa"/>
            <w:tcBorders>
              <w:left w:val="single" w:sz="24" w:space="0" w:color="auto"/>
            </w:tcBorders>
            <w:vAlign w:val="center"/>
          </w:tcPr>
          <w:p w14:paraId="1D0FDAAE" w14:textId="3731C87F" w:rsidR="008233C1" w:rsidRPr="00CB687E" w:rsidRDefault="008233C1" w:rsidP="00293742">
            <w:pPr>
              <w:rPr>
                <w:rFonts w:cs="Tahoma"/>
              </w:rPr>
            </w:pPr>
            <w:r w:rsidRPr="00CB687E">
              <w:rPr>
                <w:rFonts w:cs="Tahoma"/>
              </w:rPr>
              <w:t>Member</w:t>
            </w:r>
          </w:p>
        </w:tc>
        <w:tc>
          <w:tcPr>
            <w:tcW w:w="2268" w:type="dxa"/>
            <w:vAlign w:val="center"/>
          </w:tcPr>
          <w:p w14:paraId="0445074D" w14:textId="77777777" w:rsidR="008233C1" w:rsidRPr="00CB687E" w:rsidRDefault="008233C1" w:rsidP="00293742">
            <w:pPr>
              <w:rPr>
                <w:rFonts w:cs="Tahoma"/>
              </w:rPr>
            </w:pPr>
            <w:r w:rsidRPr="00CB687E">
              <w:rPr>
                <w:rFonts w:cs="Tahoma"/>
              </w:rPr>
              <w:t>May 26, 2020</w:t>
            </w:r>
          </w:p>
        </w:tc>
        <w:tc>
          <w:tcPr>
            <w:tcW w:w="2268" w:type="dxa"/>
            <w:vAlign w:val="center"/>
          </w:tcPr>
          <w:p w14:paraId="0A00AE95" w14:textId="0BE57F1D" w:rsidR="008233C1" w:rsidRPr="00CB687E" w:rsidRDefault="008233C1" w:rsidP="00293742">
            <w:pPr>
              <w:rPr>
                <w:rFonts w:cs="Tahoma"/>
              </w:rPr>
            </w:pPr>
            <w:r w:rsidRPr="00CB687E">
              <w:rPr>
                <w:rFonts w:cs="Tahoma"/>
              </w:rPr>
              <w:t>May 26, 2025 – May 25, 2028</w:t>
            </w:r>
          </w:p>
        </w:tc>
        <w:tc>
          <w:tcPr>
            <w:tcW w:w="3823" w:type="dxa"/>
            <w:vAlign w:val="center"/>
          </w:tcPr>
          <w:p w14:paraId="57363357" w14:textId="77777777" w:rsidR="008233C1" w:rsidRPr="00CB687E" w:rsidRDefault="008233C1" w:rsidP="00293742">
            <w:pPr>
              <w:rPr>
                <w:rFonts w:cs="Tahoma"/>
              </w:rPr>
            </w:pPr>
            <w:r w:rsidRPr="00CB687E">
              <w:rPr>
                <w:rFonts w:cs="Tahoma"/>
              </w:rPr>
              <w:t xml:space="preserve">May 28, 2024 </w:t>
            </w:r>
          </w:p>
          <w:p w14:paraId="555C66B2" w14:textId="77777777" w:rsidR="008233C1" w:rsidRPr="00CB687E" w:rsidRDefault="008233C1" w:rsidP="00293742">
            <w:pPr>
              <w:rPr>
                <w:rFonts w:cs="Tahoma"/>
              </w:rPr>
            </w:pPr>
            <w:r w:rsidRPr="00CB687E">
              <w:rPr>
                <w:rFonts w:cs="Tahoma"/>
              </w:rPr>
              <w:t>July 23, 2024</w:t>
            </w:r>
          </w:p>
          <w:p w14:paraId="54DCAF8D" w14:textId="77777777" w:rsidR="008233C1" w:rsidRPr="00CB687E" w:rsidRDefault="008233C1" w:rsidP="00293742">
            <w:pPr>
              <w:rPr>
                <w:rFonts w:cs="Tahoma"/>
              </w:rPr>
            </w:pPr>
            <w:r w:rsidRPr="00CB687E">
              <w:rPr>
                <w:rFonts w:cs="Tahoma"/>
              </w:rPr>
              <w:t>September 17, 2024</w:t>
            </w:r>
          </w:p>
          <w:p w14:paraId="31479BDA" w14:textId="77777777" w:rsidR="008233C1" w:rsidRPr="00CB687E" w:rsidRDefault="008233C1" w:rsidP="00293742">
            <w:pPr>
              <w:rPr>
                <w:rFonts w:cs="Tahoma"/>
              </w:rPr>
            </w:pPr>
            <w:r w:rsidRPr="00CB687E">
              <w:rPr>
                <w:rFonts w:cs="Tahoma"/>
              </w:rPr>
              <w:t>October 24, 2024</w:t>
            </w:r>
          </w:p>
          <w:p w14:paraId="2332B5B1" w14:textId="77777777" w:rsidR="008233C1" w:rsidRPr="00CB687E" w:rsidRDefault="008233C1" w:rsidP="00293742">
            <w:pPr>
              <w:rPr>
                <w:rFonts w:cs="Tahoma"/>
              </w:rPr>
            </w:pPr>
            <w:r w:rsidRPr="00CB687E">
              <w:rPr>
                <w:rFonts w:cs="Tahoma"/>
              </w:rPr>
              <w:t>December 10, 2024</w:t>
            </w:r>
          </w:p>
          <w:p w14:paraId="6B710351" w14:textId="77777777" w:rsidR="008233C1" w:rsidRPr="00CB687E" w:rsidRDefault="008233C1" w:rsidP="00293742">
            <w:pPr>
              <w:rPr>
                <w:rFonts w:cs="Tahoma"/>
              </w:rPr>
            </w:pPr>
            <w:r w:rsidRPr="00CB687E">
              <w:rPr>
                <w:rFonts w:cs="Tahoma"/>
              </w:rPr>
              <w:t>February 25, 2025</w:t>
            </w:r>
          </w:p>
        </w:tc>
        <w:tc>
          <w:tcPr>
            <w:tcW w:w="1984" w:type="dxa"/>
            <w:vAlign w:val="center"/>
          </w:tcPr>
          <w:p w14:paraId="69992738" w14:textId="77777777" w:rsidR="008233C1" w:rsidRPr="00CB687E" w:rsidRDefault="008233C1" w:rsidP="00293742">
            <w:pPr>
              <w:rPr>
                <w:rFonts w:cs="Tahoma"/>
              </w:rPr>
            </w:pPr>
            <w:r w:rsidRPr="00CB687E">
              <w:rPr>
                <w:rFonts w:cs="Tahoma"/>
              </w:rPr>
              <w:t>$2,217.83</w:t>
            </w:r>
          </w:p>
        </w:tc>
      </w:tr>
      <w:tr w:rsidR="007D4E1B" w:rsidRPr="00CB687E" w14:paraId="2E2148B5" w14:textId="77777777" w:rsidTr="00B74A3D">
        <w:tc>
          <w:tcPr>
            <w:tcW w:w="1276" w:type="dxa"/>
            <w:tcBorders>
              <w:right w:val="single" w:sz="24" w:space="0" w:color="auto"/>
            </w:tcBorders>
            <w:vAlign w:val="center"/>
          </w:tcPr>
          <w:p w14:paraId="314E509A" w14:textId="77777777" w:rsidR="008233C1" w:rsidRPr="00CB687E" w:rsidRDefault="008233C1" w:rsidP="00293742">
            <w:pPr>
              <w:rPr>
                <w:rFonts w:cs="Tahoma"/>
                <w:i/>
                <w:iCs/>
              </w:rPr>
            </w:pPr>
            <w:r w:rsidRPr="00CB687E">
              <w:rPr>
                <w:rFonts w:cs="Tahoma"/>
              </w:rPr>
              <w:t>Gary Pieters</w:t>
            </w:r>
          </w:p>
        </w:tc>
        <w:tc>
          <w:tcPr>
            <w:tcW w:w="1559" w:type="dxa"/>
            <w:tcBorders>
              <w:left w:val="single" w:sz="24" w:space="0" w:color="auto"/>
            </w:tcBorders>
            <w:vAlign w:val="center"/>
          </w:tcPr>
          <w:p w14:paraId="223DC74A" w14:textId="7E4A403E" w:rsidR="008233C1" w:rsidRPr="00CB687E" w:rsidRDefault="008233C1" w:rsidP="00293742">
            <w:pPr>
              <w:rPr>
                <w:rFonts w:cs="Tahoma"/>
              </w:rPr>
            </w:pPr>
            <w:r w:rsidRPr="00CB687E">
              <w:rPr>
                <w:rFonts w:cs="Tahoma"/>
              </w:rPr>
              <w:t>Member Cross-Appointee (OHRC)</w:t>
            </w:r>
          </w:p>
        </w:tc>
        <w:tc>
          <w:tcPr>
            <w:tcW w:w="2268" w:type="dxa"/>
            <w:vAlign w:val="center"/>
          </w:tcPr>
          <w:p w14:paraId="371329F7" w14:textId="77777777" w:rsidR="008233C1" w:rsidRPr="00CB687E" w:rsidRDefault="008233C1" w:rsidP="00293742">
            <w:pPr>
              <w:rPr>
                <w:rFonts w:cs="Tahoma"/>
              </w:rPr>
            </w:pPr>
            <w:r w:rsidRPr="00CB687E">
              <w:rPr>
                <w:rFonts w:cs="Tahoma"/>
              </w:rPr>
              <w:t>March 25, 2021</w:t>
            </w:r>
          </w:p>
        </w:tc>
        <w:tc>
          <w:tcPr>
            <w:tcW w:w="2268" w:type="dxa"/>
            <w:vAlign w:val="center"/>
          </w:tcPr>
          <w:p w14:paraId="753DB887" w14:textId="77777777" w:rsidR="008233C1" w:rsidRPr="00CB687E" w:rsidRDefault="008233C1" w:rsidP="00293742">
            <w:pPr>
              <w:rPr>
                <w:rFonts w:cs="Tahoma"/>
              </w:rPr>
            </w:pPr>
            <w:r w:rsidRPr="00CB687E">
              <w:rPr>
                <w:rFonts w:cs="Tahoma"/>
              </w:rPr>
              <w:t>March 25, 2023 – March 24, 2026</w:t>
            </w:r>
          </w:p>
        </w:tc>
        <w:tc>
          <w:tcPr>
            <w:tcW w:w="3823" w:type="dxa"/>
            <w:vAlign w:val="center"/>
          </w:tcPr>
          <w:p w14:paraId="5BDCFE0A" w14:textId="77777777" w:rsidR="008233C1" w:rsidRPr="00CB687E" w:rsidRDefault="008233C1" w:rsidP="00293742">
            <w:pPr>
              <w:rPr>
                <w:rFonts w:cs="Tahoma"/>
              </w:rPr>
            </w:pPr>
            <w:r w:rsidRPr="00CB687E">
              <w:rPr>
                <w:rFonts w:cs="Tahoma"/>
              </w:rPr>
              <w:t xml:space="preserve">May 28, 2024 </w:t>
            </w:r>
          </w:p>
          <w:p w14:paraId="480AAE28" w14:textId="77777777" w:rsidR="008233C1" w:rsidRPr="00CB687E" w:rsidRDefault="008233C1" w:rsidP="00293742">
            <w:pPr>
              <w:rPr>
                <w:rFonts w:cs="Tahoma"/>
              </w:rPr>
            </w:pPr>
            <w:r w:rsidRPr="00CB687E">
              <w:rPr>
                <w:rFonts w:cs="Tahoma"/>
              </w:rPr>
              <w:t>July 23, 2024</w:t>
            </w:r>
          </w:p>
          <w:p w14:paraId="5CC81D48" w14:textId="21925972" w:rsidR="008233C1" w:rsidRPr="00CB687E" w:rsidRDefault="008233C1" w:rsidP="00293742">
            <w:pPr>
              <w:rPr>
                <w:rFonts w:cs="Tahoma"/>
              </w:rPr>
            </w:pPr>
          </w:p>
        </w:tc>
        <w:tc>
          <w:tcPr>
            <w:tcW w:w="1984" w:type="dxa"/>
            <w:vAlign w:val="center"/>
          </w:tcPr>
          <w:p w14:paraId="04182A74" w14:textId="77777777" w:rsidR="008233C1" w:rsidRPr="00CB687E" w:rsidRDefault="008233C1" w:rsidP="00293742">
            <w:pPr>
              <w:rPr>
                <w:rFonts w:cs="Tahoma"/>
              </w:rPr>
            </w:pPr>
            <w:r w:rsidRPr="00CB687E">
              <w:rPr>
                <w:rFonts w:cs="Tahoma"/>
              </w:rPr>
              <w:t>$750.00</w:t>
            </w:r>
          </w:p>
        </w:tc>
      </w:tr>
    </w:tbl>
    <w:p w14:paraId="56791294" w14:textId="7DCAA8C1" w:rsidR="000C779F" w:rsidRPr="00CB687E" w:rsidRDefault="000C779F">
      <w:r w:rsidRPr="00CB687E">
        <w:br w:type="page"/>
      </w:r>
    </w:p>
    <w:p w14:paraId="16E5E0B6" w14:textId="77777777" w:rsidR="005A2D52" w:rsidRPr="00CB687E" w:rsidRDefault="005A2D52" w:rsidP="000C779F">
      <w:pPr>
        <w:pStyle w:val="Heading1"/>
        <w:sectPr w:rsidR="005A2D52" w:rsidRPr="00CB687E" w:rsidSect="007E334A">
          <w:headerReference w:type="default" r:id="rId76"/>
          <w:footerReference w:type="first" r:id="rId77"/>
          <w:pgSz w:w="15840" w:h="12240" w:orient="landscape"/>
          <w:pgMar w:top="1440" w:right="1440" w:bottom="1440" w:left="1440" w:header="720" w:footer="720" w:gutter="0"/>
          <w:cols w:space="720"/>
          <w:titlePg/>
          <w:docGrid w:linePitch="360"/>
        </w:sectPr>
      </w:pPr>
    </w:p>
    <w:p w14:paraId="62B8F104" w14:textId="19EA30E8" w:rsidR="000C779F" w:rsidRPr="00CB687E" w:rsidRDefault="000C779F" w:rsidP="000C779F">
      <w:pPr>
        <w:pStyle w:val="Heading1"/>
      </w:pPr>
      <w:bookmarkStart w:id="143" w:name="_Toc204090326"/>
      <w:r w:rsidRPr="00CB687E">
        <w:lastRenderedPageBreak/>
        <w:t>Audited Financial Statements</w:t>
      </w:r>
      <w:bookmarkEnd w:id="143"/>
      <w:r w:rsidR="00FF7F15" w:rsidRPr="00CB687E">
        <w:t xml:space="preserve"> </w:t>
      </w:r>
    </w:p>
    <w:p w14:paraId="4862F5D8" w14:textId="77777777" w:rsidR="002F4BDA" w:rsidRDefault="006E0FA2" w:rsidP="006E0FA2">
      <w:pPr>
        <w:sectPr w:rsidR="002F4BDA" w:rsidSect="007E334A">
          <w:headerReference w:type="first" r:id="rId78"/>
          <w:footerReference w:type="first" r:id="rId79"/>
          <w:pgSz w:w="12240" w:h="15840"/>
          <w:pgMar w:top="1440" w:right="1440" w:bottom="1440" w:left="1440" w:header="720" w:footer="720" w:gutter="0"/>
          <w:cols w:space="720"/>
          <w:titlePg/>
          <w:docGrid w:linePitch="360"/>
        </w:sectPr>
      </w:pPr>
      <w:r w:rsidRPr="00CB687E">
        <w:t>Insert Financial Statements</w:t>
      </w:r>
      <w:r w:rsidR="00F0729A" w:rsidRPr="00CB687E">
        <w:t xml:space="preserve"> </w:t>
      </w:r>
    </w:p>
    <w:p w14:paraId="6F822C50" w14:textId="3C467788" w:rsidR="006E0FA2" w:rsidRPr="006E0FA2" w:rsidRDefault="002F4BDA" w:rsidP="006E0FA2">
      <w:r>
        <w:rPr>
          <w:noProof/>
        </w:rPr>
        <w:lastRenderedPageBreak/>
        <mc:AlternateContent>
          <mc:Choice Requires="wps">
            <w:drawing>
              <wp:anchor distT="45720" distB="45720" distL="114300" distR="114300" simplePos="0" relativeHeight="251709444" behindDoc="0" locked="1" layoutInCell="1" allowOverlap="1" wp14:anchorId="76646D1A" wp14:editId="50C75B3F">
                <wp:simplePos x="0" y="0"/>
                <wp:positionH relativeFrom="margin">
                  <wp:posOffset>3905250</wp:posOffset>
                </wp:positionH>
                <wp:positionV relativeFrom="margin">
                  <wp:posOffset>2838450</wp:posOffset>
                </wp:positionV>
                <wp:extent cx="2686050" cy="1404620"/>
                <wp:effectExtent l="0" t="0" r="0" b="0"/>
                <wp:wrapSquare wrapText="bothSides"/>
                <wp:docPr id="1511518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solidFill>
                          <a:srgbClr val="FFFFFF"/>
                        </a:solidFill>
                        <a:ln w="9525">
                          <a:noFill/>
                          <a:miter lim="800000"/>
                          <a:headEnd/>
                          <a:tailEnd/>
                        </a:ln>
                      </wps:spPr>
                      <wps:txbx>
                        <w:txbxContent>
                          <w:p w14:paraId="7EF10EB2" w14:textId="23A27228" w:rsidR="002F4BDA" w:rsidRDefault="002F4BDA" w:rsidP="002F4BDA">
                            <w:pPr>
                              <w:tabs>
                                <w:tab w:val="left" w:pos="3969"/>
                              </w:tabs>
                              <w:spacing w:after="0" w:line="240" w:lineRule="auto"/>
                              <w:rPr>
                                <w:rFonts w:cs="Arial"/>
                              </w:rPr>
                            </w:pPr>
                            <w:r>
                              <w:rPr>
                                <w:rFonts w:cs="Arial"/>
                                <w:color w:val="000000"/>
                                <w:sz w:val="32"/>
                              </w:rPr>
                              <w:t>Human Rights Legal Support Centre</w:t>
                            </w:r>
                          </w:p>
                          <w:p w14:paraId="72ECAA52" w14:textId="77777777" w:rsidR="002F4BDA" w:rsidRDefault="002F4BDA" w:rsidP="002F4BDA">
                            <w:pPr>
                              <w:tabs>
                                <w:tab w:val="left" w:pos="3969"/>
                              </w:tabs>
                              <w:spacing w:after="0" w:line="240" w:lineRule="auto"/>
                              <w:rPr>
                                <w:rFonts w:cs="Arial"/>
                                <w:color w:val="000000"/>
                                <w:sz w:val="32"/>
                              </w:rPr>
                            </w:pPr>
                            <w:r>
                              <w:rPr>
                                <w:rFonts w:cs="Arial"/>
                                <w:color w:val="000000"/>
                                <w:sz w:val="32"/>
                              </w:rPr>
                              <w:t xml:space="preserve">180 Dundas West, 8th Floor Toronto, Ontario, </w:t>
                            </w:r>
                          </w:p>
                          <w:p w14:paraId="00CDB442" w14:textId="20B5A0F5" w:rsidR="002F4BDA" w:rsidRDefault="002F4BDA" w:rsidP="002F4BDA">
                            <w:pPr>
                              <w:tabs>
                                <w:tab w:val="left" w:pos="3969"/>
                              </w:tabs>
                              <w:spacing w:after="0" w:line="240" w:lineRule="auto"/>
                              <w:rPr>
                                <w:rFonts w:cs="Arial"/>
                              </w:rPr>
                            </w:pPr>
                            <w:r>
                              <w:rPr>
                                <w:rFonts w:cs="Arial"/>
                                <w:color w:val="000000"/>
                                <w:sz w:val="32"/>
                              </w:rPr>
                              <w:t>M7A 0A1</w:t>
                            </w:r>
                          </w:p>
                          <w:p w14:paraId="6E890989" w14:textId="77777777" w:rsidR="002F4BDA" w:rsidRDefault="002F4BDA" w:rsidP="002F4BDA">
                            <w:pPr>
                              <w:tabs>
                                <w:tab w:val="left" w:pos="3969"/>
                              </w:tabs>
                              <w:spacing w:after="0" w:line="240" w:lineRule="auto"/>
                              <w:rPr>
                                <w:rFonts w:cs="Arial"/>
                              </w:rPr>
                            </w:pPr>
                            <w:r>
                              <w:rPr>
                                <w:rFonts w:cs="Arial"/>
                                <w:color w:val="000000"/>
                                <w:sz w:val="32"/>
                              </w:rPr>
                              <w:t>www.hrlsc.on.ca</w:t>
                            </w:r>
                          </w:p>
                          <w:p w14:paraId="1A3FCA81" w14:textId="77777777" w:rsidR="002F4BDA" w:rsidRDefault="002F4BDA" w:rsidP="002F4BDA">
                            <w:pPr>
                              <w:tabs>
                                <w:tab w:val="left" w:pos="3969"/>
                              </w:tabs>
                              <w:spacing w:after="0" w:line="240" w:lineRule="auto"/>
                              <w:rPr>
                                <w:rFonts w:cs="Arial"/>
                              </w:rPr>
                            </w:pPr>
                            <w:r>
                              <w:rPr>
                                <w:rFonts w:cs="Arial"/>
                                <w:color w:val="000000"/>
                                <w:sz w:val="32"/>
                              </w:rPr>
                              <w:t xml:space="preserve">Twitter: @HRLSC_ON </w:t>
                            </w:r>
                          </w:p>
                          <w:p w14:paraId="1C486DF0" w14:textId="77777777" w:rsidR="002F4BDA" w:rsidRDefault="002F4BDA" w:rsidP="002F4BDA">
                            <w:pPr>
                              <w:tabs>
                                <w:tab w:val="left" w:pos="3969"/>
                              </w:tabs>
                              <w:spacing w:after="0" w:line="240" w:lineRule="auto"/>
                              <w:rPr>
                                <w:rFonts w:cs="Arial"/>
                              </w:rPr>
                            </w:pPr>
                            <w:r>
                              <w:rPr>
                                <w:rFonts w:cs="Arial"/>
                                <w:color w:val="000000"/>
                                <w:sz w:val="32"/>
                              </w:rPr>
                              <w:t xml:space="preserve">Facebook: @HRLSCOntario </w:t>
                            </w:r>
                          </w:p>
                          <w:p w14:paraId="229B526A" w14:textId="2A021DE2" w:rsidR="002F4BDA" w:rsidRPr="002F4BDA" w:rsidRDefault="002F4BDA" w:rsidP="002F4BDA">
                            <w:pPr>
                              <w:tabs>
                                <w:tab w:val="left" w:pos="3969"/>
                              </w:tabs>
                              <w:spacing w:after="0" w:line="240" w:lineRule="auto"/>
                              <w:rPr>
                                <w:rFonts w:cs="Arial"/>
                              </w:rPr>
                            </w:pPr>
                            <w:r>
                              <w:rPr>
                                <w:rFonts w:cs="Arial"/>
                                <w:color w:val="000000"/>
                                <w:sz w:val="32"/>
                              </w:rPr>
                              <w:t>ISSN 1923-0389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646D1A" id="_x0000_s1039" type="#_x0000_t202" style="position:absolute;margin-left:307.5pt;margin-top:223.5pt;width:211.5pt;height:110.6pt;z-index:2517094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9aEgIAAP8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" stroked="f">
                <v:textbox style="mso-fit-shape-to-text:t">
                  <w:txbxContent>
                    <w:p w14:paraId="7EF10EB2" w14:textId="23A27228" w:rsidR="002F4BDA" w:rsidRDefault="002F4BDA" w:rsidP="002F4BDA">
                      <w:pPr>
                        <w:tabs>
                          <w:tab w:val="left" w:pos="3969"/>
                        </w:tabs>
                        <w:spacing w:after="0" w:line="240" w:lineRule="auto"/>
                        <w:rPr>
                          <w:rFonts w:cs="Arial"/>
                        </w:rPr>
                      </w:pPr>
                      <w:r>
                        <w:rPr>
                          <w:rFonts w:cs="Arial"/>
                          <w:color w:val="000000"/>
                          <w:sz w:val="32"/>
                        </w:rPr>
                        <w:t>Human Rights Legal Support Centre</w:t>
                      </w:r>
                    </w:p>
                    <w:p w14:paraId="72ECAA52" w14:textId="77777777" w:rsidR="002F4BDA" w:rsidRDefault="002F4BDA" w:rsidP="002F4BDA">
                      <w:pPr>
                        <w:tabs>
                          <w:tab w:val="left" w:pos="3969"/>
                        </w:tabs>
                        <w:spacing w:after="0" w:line="240" w:lineRule="auto"/>
                        <w:rPr>
                          <w:rFonts w:cs="Arial"/>
                          <w:color w:val="000000"/>
                          <w:sz w:val="32"/>
                        </w:rPr>
                      </w:pPr>
                      <w:r>
                        <w:rPr>
                          <w:rFonts w:cs="Arial"/>
                          <w:color w:val="000000"/>
                          <w:sz w:val="32"/>
                        </w:rPr>
                        <w:t xml:space="preserve">180 Dundas West, 8th Floor Toronto, Ontario, </w:t>
                      </w:r>
                    </w:p>
                    <w:p w14:paraId="00CDB442" w14:textId="20B5A0F5" w:rsidR="002F4BDA" w:rsidRDefault="002F4BDA" w:rsidP="002F4BDA">
                      <w:pPr>
                        <w:tabs>
                          <w:tab w:val="left" w:pos="3969"/>
                        </w:tabs>
                        <w:spacing w:after="0" w:line="240" w:lineRule="auto"/>
                        <w:rPr>
                          <w:rFonts w:cs="Arial"/>
                        </w:rPr>
                      </w:pPr>
                      <w:r>
                        <w:rPr>
                          <w:rFonts w:cs="Arial"/>
                          <w:color w:val="000000"/>
                          <w:sz w:val="32"/>
                        </w:rPr>
                        <w:t>M7A 0A1</w:t>
                      </w:r>
                    </w:p>
                    <w:p w14:paraId="6E890989" w14:textId="77777777" w:rsidR="002F4BDA" w:rsidRDefault="002F4BDA" w:rsidP="002F4BDA">
                      <w:pPr>
                        <w:tabs>
                          <w:tab w:val="left" w:pos="3969"/>
                        </w:tabs>
                        <w:spacing w:after="0" w:line="240" w:lineRule="auto"/>
                        <w:rPr>
                          <w:rFonts w:cs="Arial"/>
                        </w:rPr>
                      </w:pPr>
                      <w:r>
                        <w:rPr>
                          <w:rFonts w:cs="Arial"/>
                          <w:color w:val="000000"/>
                          <w:sz w:val="32"/>
                        </w:rPr>
                        <w:t>www.hrlsc.on.ca</w:t>
                      </w:r>
                    </w:p>
                    <w:p w14:paraId="1A3FCA81" w14:textId="77777777" w:rsidR="002F4BDA" w:rsidRDefault="002F4BDA" w:rsidP="002F4BDA">
                      <w:pPr>
                        <w:tabs>
                          <w:tab w:val="left" w:pos="3969"/>
                        </w:tabs>
                        <w:spacing w:after="0" w:line="240" w:lineRule="auto"/>
                        <w:rPr>
                          <w:rFonts w:cs="Arial"/>
                        </w:rPr>
                      </w:pPr>
                      <w:r>
                        <w:rPr>
                          <w:rFonts w:cs="Arial"/>
                          <w:color w:val="000000"/>
                          <w:sz w:val="32"/>
                        </w:rPr>
                        <w:t xml:space="preserve">Twitter: @HRLSC_ON </w:t>
                      </w:r>
                    </w:p>
                    <w:p w14:paraId="1C486DF0" w14:textId="77777777" w:rsidR="002F4BDA" w:rsidRDefault="002F4BDA" w:rsidP="002F4BDA">
                      <w:pPr>
                        <w:tabs>
                          <w:tab w:val="left" w:pos="3969"/>
                        </w:tabs>
                        <w:spacing w:after="0" w:line="240" w:lineRule="auto"/>
                        <w:rPr>
                          <w:rFonts w:cs="Arial"/>
                        </w:rPr>
                      </w:pPr>
                      <w:r>
                        <w:rPr>
                          <w:rFonts w:cs="Arial"/>
                          <w:color w:val="000000"/>
                          <w:sz w:val="32"/>
                        </w:rPr>
                        <w:t xml:space="preserve">Facebook: @HRLSCOntario </w:t>
                      </w:r>
                    </w:p>
                    <w:p w14:paraId="229B526A" w14:textId="2A021DE2" w:rsidR="002F4BDA" w:rsidRPr="002F4BDA" w:rsidRDefault="002F4BDA" w:rsidP="002F4BDA">
                      <w:pPr>
                        <w:tabs>
                          <w:tab w:val="left" w:pos="3969"/>
                        </w:tabs>
                        <w:spacing w:after="0" w:line="240" w:lineRule="auto"/>
                        <w:rPr>
                          <w:rFonts w:cs="Arial"/>
                        </w:rPr>
                      </w:pPr>
                      <w:r>
                        <w:rPr>
                          <w:rFonts w:cs="Arial"/>
                          <w:color w:val="000000"/>
                          <w:sz w:val="32"/>
                        </w:rPr>
                        <w:t>ISSN 1923-0389</w:t>
                      </w:r>
                    </w:p>
                  </w:txbxContent>
                </v:textbox>
                <w10:wrap type="square" anchorx="margin" anchory="margin"/>
                <w10:anchorlock/>
              </v:shape>
            </w:pict>
          </mc:Fallback>
        </mc:AlternateContent>
      </w:r>
      <w:r>
        <w:rPr>
          <w:noProof/>
        </w:rPr>
        <mc:AlternateContent>
          <mc:Choice Requires="wps">
            <w:drawing>
              <wp:anchor distT="0" distB="0" distL="114300" distR="114300" simplePos="0" relativeHeight="251707396" behindDoc="0" locked="0" layoutInCell="1" allowOverlap="1" wp14:anchorId="568922A5" wp14:editId="636CFC5A">
                <wp:simplePos x="0" y="0"/>
                <wp:positionH relativeFrom="page">
                  <wp:posOffset>4648200</wp:posOffset>
                </wp:positionH>
                <wp:positionV relativeFrom="page">
                  <wp:posOffset>19050</wp:posOffset>
                </wp:positionV>
                <wp:extent cx="0" cy="10172700"/>
                <wp:effectExtent l="19050" t="0" r="19050" b="19050"/>
                <wp:wrapNone/>
                <wp:docPr id="575265603" name="Straight Connector 14"/>
                <wp:cNvGraphicFramePr/>
                <a:graphic xmlns:a="http://schemas.openxmlformats.org/drawingml/2006/main">
                  <a:graphicData uri="http://schemas.microsoft.com/office/word/2010/wordprocessingShape">
                    <wps:wsp>
                      <wps:cNvCnPr/>
                      <wps:spPr>
                        <a:xfrm>
                          <a:off x="0" y="0"/>
                          <a:ext cx="0" cy="101727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E7B67E" id="Straight Connector 14" o:spid="_x0000_s1026" style="position:absolute;z-index:251707396;visibility:visible;mso-wrap-style:square;mso-wrap-distance-left:9pt;mso-wrap-distance-top:0;mso-wrap-distance-right:9pt;mso-wrap-distance-bottom:0;mso-position-horizontal:absolute;mso-position-horizontal-relative:page;mso-position-vertical:absolute;mso-position-vertical-relative:page" from="366pt,1.5pt" to="366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" strokecolor="black [3213]" strokeweight="3pt">
                <v:stroke joinstyle="miter"/>
                <w10:wrap anchorx="page" anchory="page"/>
              </v:line>
            </w:pict>
          </mc:Fallback>
        </mc:AlternateContent>
      </w:r>
      <w:r>
        <w:rPr>
          <w:noProof/>
        </w:rPr>
        <mc:AlternateContent>
          <mc:Choice Requires="wps">
            <w:drawing>
              <wp:anchor distT="0" distB="0" distL="114300" distR="114300" simplePos="0" relativeHeight="251706372" behindDoc="0" locked="1" layoutInCell="1" allowOverlap="1" wp14:anchorId="600A81A3" wp14:editId="44790D3F">
                <wp:simplePos x="0" y="0"/>
                <wp:positionH relativeFrom="page">
                  <wp:posOffset>-57785</wp:posOffset>
                </wp:positionH>
                <wp:positionV relativeFrom="page">
                  <wp:posOffset>-208915</wp:posOffset>
                </wp:positionV>
                <wp:extent cx="4705200" cy="11505600"/>
                <wp:effectExtent l="0" t="0" r="635" b="635"/>
                <wp:wrapNone/>
                <wp:docPr id="1629411735" name="Rectangle 13"/>
                <wp:cNvGraphicFramePr/>
                <a:graphic xmlns:a="http://schemas.openxmlformats.org/drawingml/2006/main">
                  <a:graphicData uri="http://schemas.microsoft.com/office/word/2010/wordprocessingShape">
                    <wps:wsp>
                      <wps:cNvSpPr/>
                      <wps:spPr>
                        <a:xfrm>
                          <a:off x="0" y="0"/>
                          <a:ext cx="4705200" cy="11505600"/>
                        </a:xfrm>
                        <a:prstGeom prst="rect">
                          <a:avLst/>
                        </a:prstGeom>
                        <a:solidFill>
                          <a:srgbClr val="5D7F8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B6CA2" id="Rectangle 13" o:spid="_x0000_s1026" style="position:absolute;margin-left:-4.55pt;margin-top:-16.45pt;width:370.5pt;height:905.95pt;z-index:2517063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" fillcolor="#5d7f8d" stroked="f" strokeweight="1pt">
                <w10:wrap anchorx="page" anchory="page"/>
                <w10:anchorlock/>
              </v:rect>
            </w:pict>
          </mc:Fallback>
        </mc:AlternateContent>
      </w:r>
    </w:p>
    <w:sectPr w:rsidR="006E0FA2" w:rsidRPr="006E0FA2" w:rsidSect="007E334A">
      <w:footerReference w:type="first" r:id="rId8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68F46" w14:textId="77777777" w:rsidR="00EC5ACA" w:rsidRPr="00CB687E" w:rsidRDefault="00EC5ACA" w:rsidP="00236C8D">
      <w:pPr>
        <w:spacing w:after="0" w:line="240" w:lineRule="auto"/>
      </w:pPr>
      <w:r w:rsidRPr="00CB687E">
        <w:separator/>
      </w:r>
    </w:p>
  </w:endnote>
  <w:endnote w:type="continuationSeparator" w:id="0">
    <w:p w14:paraId="2D615338" w14:textId="77777777" w:rsidR="00EC5ACA" w:rsidRPr="00CB687E" w:rsidRDefault="00EC5ACA" w:rsidP="00236C8D">
      <w:pPr>
        <w:spacing w:after="0" w:line="240" w:lineRule="auto"/>
      </w:pPr>
      <w:r w:rsidRPr="00CB687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Proxima Nov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967433"/>
      <w:docPartObj>
        <w:docPartGallery w:val="Page Numbers (Bottom of Page)"/>
        <w:docPartUnique/>
      </w:docPartObj>
    </w:sdtPr>
    <w:sdtContent>
      <w:p w14:paraId="3D1CB68D" w14:textId="53CD49F1" w:rsidR="00236C8D" w:rsidRPr="00CB687E" w:rsidRDefault="00236C8D">
        <w:pPr>
          <w:pStyle w:val="Footer"/>
          <w:jc w:val="right"/>
        </w:pPr>
        <w:r w:rsidRPr="00B74A3D">
          <w:fldChar w:fldCharType="begin"/>
        </w:r>
        <w:r w:rsidRPr="00CB687E">
          <w:instrText xml:space="preserve"> PAGE   \* MERGEFORMAT </w:instrText>
        </w:r>
        <w:r w:rsidRPr="00B74A3D">
          <w:fldChar w:fldCharType="separate"/>
        </w:r>
        <w:r w:rsidRPr="00B74A3D">
          <w:t>2</w:t>
        </w:r>
        <w:r w:rsidRPr="00B74A3D">
          <w:fldChar w:fldCharType="end"/>
        </w:r>
      </w:p>
    </w:sdtContent>
  </w:sdt>
  <w:p w14:paraId="582D8711" w14:textId="77777777" w:rsidR="00236C8D" w:rsidRPr="00CB687E" w:rsidRDefault="00236C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7566888"/>
      <w:docPartObj>
        <w:docPartGallery w:val="Page Numbers (Bottom of Page)"/>
        <w:docPartUnique/>
      </w:docPartObj>
    </w:sdtPr>
    <w:sdtEndPr>
      <w:rPr>
        <w:noProof/>
      </w:rPr>
    </w:sdtEndPr>
    <w:sdtContent>
      <w:p w14:paraId="15DF21CE" w14:textId="494C1ACD" w:rsidR="000E6BCB" w:rsidRDefault="000E6BCB" w:rsidP="004700F7">
        <w:pPr>
          <w:pStyle w:val="Footer"/>
          <w:shd w:val="clear" w:color="auto" w:fill="FFFFFF" w:themeFill="background1"/>
          <w:jc w:val="right"/>
        </w:pPr>
        <w:r w:rsidRPr="004700F7">
          <w:fldChar w:fldCharType="begin"/>
        </w:r>
        <w:r w:rsidRPr="004700F7">
          <w:instrText xml:space="preserve"> PAGE   \* MERGEFORMAT </w:instrText>
        </w:r>
        <w:r w:rsidRPr="004700F7">
          <w:fldChar w:fldCharType="separate"/>
        </w:r>
        <w:r w:rsidRPr="004700F7">
          <w:rPr>
            <w:noProof/>
          </w:rPr>
          <w:t>2</w:t>
        </w:r>
        <w:r w:rsidRPr="004700F7">
          <w:rPr>
            <w:noProof/>
          </w:rPr>
          <w:fldChar w:fldCharType="end"/>
        </w:r>
      </w:p>
    </w:sdtContent>
  </w:sdt>
  <w:p w14:paraId="112684C5" w14:textId="77777777" w:rsidR="000E6BCB" w:rsidRDefault="000E6B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8184311"/>
      <w:docPartObj>
        <w:docPartGallery w:val="Page Numbers (Bottom of Page)"/>
        <w:docPartUnique/>
      </w:docPartObj>
    </w:sdtPr>
    <w:sdtEndPr>
      <w:rPr>
        <w:noProof/>
      </w:rPr>
    </w:sdtEndPr>
    <w:sdtContent>
      <w:p w14:paraId="50B0D56B" w14:textId="6B87FBA3" w:rsidR="001519D9" w:rsidRDefault="001519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5327D2" w14:textId="77777777" w:rsidR="009C639F" w:rsidRDefault="009C63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6186980"/>
      <w:docPartObj>
        <w:docPartGallery w:val="Page Numbers (Bottom of Page)"/>
        <w:docPartUnique/>
      </w:docPartObj>
    </w:sdtPr>
    <w:sdtEndPr>
      <w:rPr>
        <w:noProof/>
      </w:rPr>
    </w:sdtEndPr>
    <w:sdtContent>
      <w:p w14:paraId="633887CB" w14:textId="2E0096FD" w:rsidR="009C639F" w:rsidRDefault="009C63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E41DFA" w14:textId="77777777" w:rsidR="009C639F" w:rsidRDefault="009C63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9947498"/>
      <w:docPartObj>
        <w:docPartGallery w:val="Page Numbers (Bottom of Page)"/>
        <w:docPartUnique/>
      </w:docPartObj>
    </w:sdtPr>
    <w:sdtContent>
      <w:p w14:paraId="749D083E" w14:textId="77777777" w:rsidR="005A2D52" w:rsidRPr="00CB687E" w:rsidRDefault="005A2D52">
        <w:pPr>
          <w:pStyle w:val="Footer"/>
          <w:jc w:val="right"/>
        </w:pPr>
        <w:r w:rsidRPr="00B74A3D">
          <w:fldChar w:fldCharType="begin"/>
        </w:r>
        <w:r w:rsidRPr="00CB687E">
          <w:instrText xml:space="preserve"> PAGE   \* MERGEFORMAT </w:instrText>
        </w:r>
        <w:r w:rsidRPr="00B74A3D">
          <w:fldChar w:fldCharType="separate"/>
        </w:r>
        <w:r w:rsidRPr="00B74A3D">
          <w:t>2</w:t>
        </w:r>
        <w:r w:rsidRPr="00B74A3D">
          <w:fldChar w:fldCharType="end"/>
        </w:r>
      </w:p>
    </w:sdtContent>
  </w:sdt>
  <w:p w14:paraId="47522191" w14:textId="77777777" w:rsidR="005A2D52" w:rsidRPr="00CB687E" w:rsidRDefault="005A2D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69136"/>
      <w:docPartObj>
        <w:docPartGallery w:val="Page Numbers (Bottom of Page)"/>
        <w:docPartUnique/>
      </w:docPartObj>
    </w:sdtPr>
    <w:sdtContent>
      <w:p w14:paraId="38AC5988" w14:textId="77777777" w:rsidR="00CF2C10" w:rsidRPr="00CB687E" w:rsidRDefault="00CF2C10">
        <w:pPr>
          <w:pStyle w:val="Footer"/>
          <w:jc w:val="right"/>
        </w:pPr>
        <w:r w:rsidRPr="00B74A3D">
          <w:fldChar w:fldCharType="begin"/>
        </w:r>
        <w:r w:rsidRPr="00CB687E">
          <w:instrText xml:space="preserve"> PAGE   \* MERGEFORMAT </w:instrText>
        </w:r>
        <w:r w:rsidRPr="00B74A3D">
          <w:fldChar w:fldCharType="separate"/>
        </w:r>
        <w:r w:rsidRPr="00B74A3D">
          <w:t>2</w:t>
        </w:r>
        <w:r w:rsidRPr="00B74A3D">
          <w:fldChar w:fldCharType="end"/>
        </w:r>
      </w:p>
    </w:sdtContent>
  </w:sdt>
  <w:p w14:paraId="46F37FB0" w14:textId="77777777" w:rsidR="00CF2C10" w:rsidRPr="00CB687E" w:rsidRDefault="00CF2C1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913945"/>
      <w:docPartObj>
        <w:docPartGallery w:val="Page Numbers (Bottom of Page)"/>
        <w:docPartUnique/>
      </w:docPartObj>
    </w:sdtPr>
    <w:sdtContent>
      <w:p w14:paraId="780BEEC3" w14:textId="77777777" w:rsidR="002702C2" w:rsidRPr="00CB687E" w:rsidRDefault="002702C2" w:rsidP="002702C2">
        <w:pPr>
          <w:pStyle w:val="Footer"/>
          <w:jc w:val="center"/>
        </w:pPr>
        <w:r w:rsidRPr="00B74A3D">
          <w:fldChar w:fldCharType="begin"/>
        </w:r>
        <w:r w:rsidRPr="00CB687E">
          <w:instrText xml:space="preserve"> PAGE   \* MERGEFORMAT </w:instrText>
        </w:r>
        <w:r w:rsidRPr="00B74A3D">
          <w:fldChar w:fldCharType="separate"/>
        </w:r>
        <w:r w:rsidRPr="00B74A3D">
          <w:t>2</w:t>
        </w:r>
        <w:r w:rsidRPr="00B74A3D">
          <w:fldChar w:fldCharType="end"/>
        </w:r>
      </w:p>
    </w:sdtContent>
  </w:sdt>
  <w:p w14:paraId="7CD39C3B" w14:textId="77777777" w:rsidR="002702C2" w:rsidRPr="00CB687E" w:rsidRDefault="002702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50AD6" w14:textId="77777777" w:rsidR="00EC5ACA" w:rsidRPr="00CB687E" w:rsidRDefault="00EC5ACA" w:rsidP="00236C8D">
      <w:pPr>
        <w:spacing w:after="0" w:line="240" w:lineRule="auto"/>
      </w:pPr>
      <w:r w:rsidRPr="00CB687E">
        <w:separator/>
      </w:r>
    </w:p>
  </w:footnote>
  <w:footnote w:type="continuationSeparator" w:id="0">
    <w:p w14:paraId="4173DB3D" w14:textId="77777777" w:rsidR="00EC5ACA" w:rsidRPr="00CB687E" w:rsidRDefault="00EC5ACA" w:rsidP="00236C8D">
      <w:pPr>
        <w:spacing w:after="0" w:line="240" w:lineRule="auto"/>
      </w:pPr>
      <w:r w:rsidRPr="00CB687E">
        <w:continuationSeparator/>
      </w:r>
    </w:p>
  </w:footnote>
  <w:footnote w:id="1">
    <w:p w14:paraId="52AFE773" w14:textId="77777777" w:rsidR="005C0A6D" w:rsidRPr="00CF1B28" w:rsidRDefault="005C0A6D" w:rsidP="005C0A6D">
      <w:pPr>
        <w:pStyle w:val="FootnoteText"/>
        <w:rPr>
          <w:rFonts w:ascii="Tahoma" w:eastAsia="Aptos" w:hAnsi="Tahoma" w:cs="Tahoma"/>
          <w:sz w:val="18"/>
          <w:szCs w:val="18"/>
        </w:rPr>
      </w:pPr>
      <w:r w:rsidRPr="00CF1B28">
        <w:rPr>
          <w:rStyle w:val="FootnoteReference"/>
          <w:rFonts w:ascii="Tahoma" w:hAnsi="Tahoma" w:cs="Tahoma"/>
          <w:sz w:val="18"/>
          <w:szCs w:val="18"/>
        </w:rPr>
        <w:footnoteRef/>
      </w:r>
      <w:r w:rsidRPr="00CF1B28">
        <w:rPr>
          <w:rFonts w:ascii="Tahoma" w:hAnsi="Tahoma" w:cs="Tahoma"/>
          <w:sz w:val="18"/>
          <w:szCs w:val="18"/>
        </w:rPr>
        <w:t xml:space="preserve"> </w:t>
      </w:r>
      <w:r w:rsidRPr="00CF1B28">
        <w:rPr>
          <w:rFonts w:ascii="Tahoma" w:eastAsia="Aptos" w:hAnsi="Tahoma" w:cs="Tahoma"/>
          <w:sz w:val="18"/>
          <w:szCs w:val="18"/>
        </w:rPr>
        <w:t xml:space="preserve">The five regional designations used by the HRLSC are derived from </w:t>
      </w:r>
      <w:hyperlink r:id="rId1" w:history="1">
        <w:r w:rsidRPr="00CF1B28">
          <w:rPr>
            <w:rStyle w:val="Hyperlink"/>
            <w:rFonts w:ascii="Tahoma" w:eastAsia="Aptos" w:hAnsi="Tahoma" w:cs="Tahoma"/>
            <w:color w:val="467886"/>
            <w:sz w:val="18"/>
            <w:szCs w:val="18"/>
          </w:rPr>
          <w:t>Canada Post regional classifications</w:t>
        </w:r>
      </w:hyperlink>
      <w:r w:rsidRPr="00CF1B28">
        <w:rPr>
          <w:rFonts w:ascii="Tahoma" w:eastAsia="Aptos" w:hAnsi="Tahoma" w:cs="Tahoma"/>
          <w:sz w:val="18"/>
          <w:szCs w:val="18"/>
        </w:rPr>
        <w:t xml:space="preserve">. Accordingly, postal codes that begin with “K” are within Eastern Ontario, “L” are within Central Ontario, “M” are within Toronto, “N” are within Southwestern Ontario and “P” are within Northern Ontario. These regional breakdowns are in line with those used by the </w:t>
      </w:r>
      <w:hyperlink r:id="rId2" w:anchor="panel6" w:history="1">
        <w:r w:rsidRPr="00CF1B28">
          <w:rPr>
            <w:rStyle w:val="Hyperlink"/>
            <w:rFonts w:ascii="Tahoma" w:eastAsia="Aptos" w:hAnsi="Tahoma" w:cs="Tahoma"/>
            <w:color w:val="467886"/>
            <w:sz w:val="18"/>
            <w:szCs w:val="18"/>
          </w:rPr>
          <w:t>Human Rights Tribunal of Ontario</w:t>
        </w:r>
      </w:hyperlink>
      <w:r w:rsidRPr="00CF1B28">
        <w:rPr>
          <w:rFonts w:ascii="Tahoma" w:eastAsia="Aptos" w:hAnsi="Tahoma" w:cs="Tahoma"/>
          <w:sz w:val="18"/>
          <w:szCs w:val="18"/>
        </w:rPr>
        <w:t xml:space="preserve"> but differ from the regions (eight in total) designated within the </w:t>
      </w:r>
      <w:hyperlink r:id="rId3" w:history="1">
        <w:r w:rsidRPr="00CF1B28">
          <w:rPr>
            <w:rStyle w:val="Hyperlink"/>
            <w:rFonts w:ascii="Tahoma" w:eastAsia="Aptos" w:hAnsi="Tahoma" w:cs="Tahoma"/>
            <w:color w:val="467886"/>
            <w:sz w:val="18"/>
            <w:szCs w:val="18"/>
          </w:rPr>
          <w:t>Ontario court system</w:t>
        </w:r>
      </w:hyperlink>
      <w:r w:rsidRPr="00CF1B28">
        <w:rPr>
          <w:rFonts w:ascii="Tahoma" w:eastAsia="Aptos" w:hAnsi="Tahoma" w:cs="Tahoma"/>
          <w:sz w:val="18"/>
          <w:szCs w:val="18"/>
        </w:rPr>
        <w:t>.</w:t>
      </w:r>
    </w:p>
    <w:p w14:paraId="414EFC92" w14:textId="77777777" w:rsidR="005C0A6D" w:rsidRDefault="005C0A6D" w:rsidP="005C0A6D">
      <w:pPr>
        <w:pStyle w:val="FootnoteText"/>
      </w:pPr>
    </w:p>
  </w:footnote>
  <w:footnote w:id="2">
    <w:p w14:paraId="564BFC9E" w14:textId="56953D0B" w:rsidR="00823B13" w:rsidRPr="00CF1B28" w:rsidRDefault="00823B13">
      <w:pPr>
        <w:pStyle w:val="FootnoteText"/>
        <w:rPr>
          <w:rFonts w:ascii="Tahoma" w:hAnsi="Tahoma" w:cs="Tahoma"/>
          <w:sz w:val="18"/>
          <w:szCs w:val="18"/>
        </w:rPr>
      </w:pPr>
      <w:r w:rsidRPr="00CF1B28">
        <w:rPr>
          <w:rStyle w:val="FootnoteReference"/>
          <w:rFonts w:ascii="Tahoma" w:hAnsi="Tahoma" w:cs="Tahoma"/>
          <w:sz w:val="18"/>
          <w:szCs w:val="18"/>
        </w:rPr>
        <w:footnoteRef/>
      </w:r>
      <w:r w:rsidR="3D8EA24A" w:rsidRPr="00CF1B28">
        <w:rPr>
          <w:rFonts w:ascii="Tahoma" w:hAnsi="Tahoma" w:cs="Tahoma"/>
          <w:sz w:val="18"/>
          <w:szCs w:val="18"/>
        </w:rPr>
        <w:t xml:space="preserve"> Notwithstanding the presentation of these grounds in a sequential, compartmentalized manner, the Centre represents clients who often cite discrimination on multiple grounds in keeping with the realities of intersectional discrimination. Indeed, as the Ontario Human Rights Commission states, “Discrimination may be unique or distinct when it occurs based on two or more Code grounds. Such discrimination is said to be ‘intersectional.’ The concept of intersectional discrimination recognizes that people’s lives involve multiple interrelated identities, and that marginalization and exclusion based on Code grounds may exist because of how these identities intersect.” Source: OHRC </w:t>
      </w:r>
      <w:hyperlink r:id="rId4" w:history="1">
        <w:r w:rsidR="3D8EA24A" w:rsidRPr="00CF1B28">
          <w:rPr>
            <w:rStyle w:val="Hyperlink"/>
            <w:rFonts w:ascii="Tahoma" w:hAnsi="Tahoma" w:cs="Tahoma"/>
            <w:sz w:val="18"/>
            <w:szCs w:val="18"/>
          </w:rPr>
          <w:t>Policy on ableism and discrimination based on disability</w:t>
        </w:r>
      </w:hyperlink>
      <w:r w:rsidR="3D8EA24A" w:rsidRPr="00CF1B28">
        <w:rPr>
          <w:rFonts w:ascii="Tahoma" w:hAnsi="Tahoma" w:cs="Tahoma"/>
          <w:sz w:val="18"/>
          <w:szCs w:val="18"/>
        </w:rPr>
        <w:t>.</w:t>
      </w:r>
    </w:p>
  </w:footnote>
  <w:footnote w:id="3">
    <w:p w14:paraId="01A307CA" w14:textId="3933C63B" w:rsidR="00E63F15" w:rsidRPr="009C639F" w:rsidRDefault="00E63F15" w:rsidP="009C639F">
      <w:pPr>
        <w:rPr>
          <w:rFonts w:cs="Tahoma"/>
        </w:rPr>
      </w:pPr>
      <w:r w:rsidRPr="00CB687E">
        <w:rPr>
          <w:rStyle w:val="FootnoteReference"/>
          <w:sz w:val="18"/>
        </w:rPr>
        <w:footnoteRef/>
      </w:r>
      <w:r w:rsidR="00BD0888" w:rsidRPr="00CB687E">
        <w:rPr>
          <w:rFonts w:cs="Tahoma"/>
          <w:sz w:val="18"/>
          <w:szCs w:val="18"/>
        </w:rPr>
        <w:t xml:space="preserve">Reports of hate crimes are up across all of Canada, with Ontario reporting the greatest numbers in 2023, both in absolute terms, and relative to population, with some 2,424 police-reported hate crime incidents in Ontario in 2023, up 25% from 1,950 reported incidents the year before. (Source: Statistics Canada. 2024-03-13. Incident-based Uniform Crime Reporting Survey (3302). Retrieved from https://www150.statcan.gc.ca/n1/daily-quotidien/240313/cg-b002-png-eng.htm). Additionally, and more recently, Statistics Canada data shows that in 2024 there were 4,722 reported hate crimes across Canada, 2,443 of which were reported in Ontario. Source: </w:t>
      </w:r>
      <w:hyperlink r:id="rId5" w:history="1">
        <w:r w:rsidR="00BD0888" w:rsidRPr="00CB687E">
          <w:rPr>
            <w:rStyle w:val="Hyperlink"/>
            <w:rFonts w:cs="Tahoma"/>
            <w:sz w:val="18"/>
            <w:szCs w:val="18"/>
          </w:rPr>
          <w:t>Police-reported hate crime, by type of motivation, number of incidents and year to date total, preliminary quarterly data, Canada and regions.</w:t>
        </w:r>
      </w:hyperlink>
      <w:r w:rsidR="00BD0888" w:rsidRPr="00CB687E">
        <w:rPr>
          <w:rFonts w:cs="Tahoma"/>
          <w:sz w:val="18"/>
          <w:szCs w:val="18"/>
        </w:rPr>
        <w:t xml:space="preserve"> Consequently, Ontario, which constitutes 39% of Canada’s population, disproportionately accounted for 52% of all reported hate crime incidents in 2024.</w:t>
      </w:r>
    </w:p>
  </w:footnote>
  <w:footnote w:id="4">
    <w:p w14:paraId="3872980F" w14:textId="0F157474" w:rsidR="00731178" w:rsidRPr="00CF1B28" w:rsidRDefault="00731178" w:rsidP="002474F9">
      <w:pPr>
        <w:spacing w:after="0"/>
        <w:rPr>
          <w:rFonts w:cs="Tahoma"/>
          <w:sz w:val="18"/>
          <w:szCs w:val="18"/>
        </w:rPr>
      </w:pPr>
      <w:r w:rsidRPr="00CF1B28">
        <w:rPr>
          <w:rStyle w:val="FootnoteReference"/>
          <w:rFonts w:cs="Tahoma"/>
          <w:sz w:val="18"/>
          <w:szCs w:val="18"/>
        </w:rPr>
        <w:footnoteRef/>
      </w:r>
      <w:r w:rsidRPr="00CF1B28">
        <w:rPr>
          <w:rFonts w:cs="Tahoma"/>
          <w:sz w:val="18"/>
          <w:szCs w:val="18"/>
        </w:rPr>
        <w:t>The HRTO, at its April 8, 2025 Town Hall regarding its new Rules of Procedure, noted that they closed the 2024</w:t>
      </w:r>
      <w:r w:rsidR="00CF1B28" w:rsidRPr="00CF1B28">
        <w:rPr>
          <w:rFonts w:cs="Tahoma"/>
          <w:sz w:val="18"/>
          <w:szCs w:val="18"/>
        </w:rPr>
        <w:t>–</w:t>
      </w:r>
      <w:r w:rsidR="00CF1B28">
        <w:rPr>
          <w:rFonts w:cs="Tahoma"/>
          <w:sz w:val="18"/>
          <w:szCs w:val="18"/>
        </w:rPr>
        <w:t>20</w:t>
      </w:r>
      <w:r w:rsidRPr="00CF1B28">
        <w:rPr>
          <w:rFonts w:cs="Tahoma"/>
          <w:sz w:val="18"/>
          <w:szCs w:val="18"/>
        </w:rPr>
        <w:t>25 year with 4500 new applicants received – one of the highest annually ever, and only 55 less than the highest year on record since the HRTO direct access model was established in 2008.</w:t>
      </w:r>
    </w:p>
  </w:footnote>
  <w:footnote w:id="5">
    <w:p w14:paraId="1F403C50" w14:textId="55E482C1" w:rsidR="00731178" w:rsidRPr="00CF1B28" w:rsidRDefault="00731178" w:rsidP="00731178">
      <w:pPr>
        <w:pStyle w:val="FootnoteText"/>
        <w:rPr>
          <w:rFonts w:ascii="Tahoma" w:hAnsi="Tahoma" w:cs="Tahoma"/>
          <w:sz w:val="18"/>
          <w:szCs w:val="18"/>
        </w:rPr>
      </w:pPr>
      <w:r w:rsidRPr="00CF1B28">
        <w:rPr>
          <w:rStyle w:val="FootnoteReference"/>
          <w:rFonts w:ascii="Tahoma" w:hAnsi="Tahoma" w:cs="Tahoma"/>
          <w:sz w:val="18"/>
          <w:szCs w:val="18"/>
        </w:rPr>
        <w:footnoteRef/>
      </w:r>
      <w:r w:rsidRPr="00CF1B28">
        <w:rPr>
          <w:rFonts w:ascii="Tahoma" w:hAnsi="Tahoma" w:cs="Tahoma"/>
          <w:sz w:val="18"/>
          <w:szCs w:val="18"/>
        </w:rPr>
        <w:t xml:space="preserve"> The previous fiscal year’s (</w:t>
      </w:r>
      <w:r w:rsidR="00CF1B28">
        <w:rPr>
          <w:rFonts w:ascii="Tahoma" w:hAnsi="Tahoma" w:cs="Tahoma"/>
          <w:sz w:val="18"/>
          <w:szCs w:val="18"/>
        </w:rPr>
        <w:t>20</w:t>
      </w:r>
      <w:r w:rsidRPr="00CF1B28">
        <w:rPr>
          <w:rFonts w:ascii="Tahoma" w:hAnsi="Tahoma" w:cs="Tahoma"/>
          <w:sz w:val="18"/>
          <w:szCs w:val="18"/>
        </w:rPr>
        <w:t>23</w:t>
      </w:r>
      <w:r w:rsidR="00CF1B28" w:rsidRPr="00CF1B28">
        <w:rPr>
          <w:rFonts w:cs="Tahoma"/>
          <w:sz w:val="18"/>
          <w:szCs w:val="18"/>
        </w:rPr>
        <w:t>–</w:t>
      </w:r>
      <w:r w:rsidR="00CF1B28">
        <w:rPr>
          <w:rFonts w:cs="Tahoma"/>
          <w:sz w:val="18"/>
          <w:szCs w:val="18"/>
        </w:rPr>
        <w:t>20</w:t>
      </w:r>
      <w:r w:rsidRPr="00CF1B28">
        <w:rPr>
          <w:rFonts w:ascii="Tahoma" w:hAnsi="Tahoma" w:cs="Tahoma"/>
          <w:sz w:val="18"/>
          <w:szCs w:val="18"/>
        </w:rPr>
        <w:t xml:space="preserve">24) data depended on a projection based on only 2 fiscal quarters, due to the cybersecurity incident in October 2023. </w:t>
      </w:r>
    </w:p>
  </w:footnote>
  <w:footnote w:id="6">
    <w:p w14:paraId="7E5679C3" w14:textId="77777777" w:rsidR="00731178" w:rsidRPr="00CB687E" w:rsidRDefault="00731178" w:rsidP="00731178">
      <w:pPr>
        <w:pStyle w:val="FootnoteText"/>
        <w:rPr>
          <w:rFonts w:ascii="Tahoma" w:hAnsi="Tahoma" w:cs="Tahoma"/>
          <w:sz w:val="18"/>
          <w:szCs w:val="18"/>
        </w:rPr>
      </w:pPr>
      <w:r w:rsidRPr="00CF1B28">
        <w:rPr>
          <w:rStyle w:val="FootnoteReference"/>
          <w:rFonts w:ascii="Tahoma" w:hAnsi="Tahoma" w:cs="Tahoma"/>
          <w:sz w:val="18"/>
          <w:szCs w:val="18"/>
        </w:rPr>
        <w:footnoteRef/>
      </w:r>
      <w:r w:rsidRPr="00CF1B28">
        <w:rPr>
          <w:rFonts w:ascii="Tahoma" w:hAnsi="Tahoma" w:cs="Tahoma"/>
          <w:sz w:val="18"/>
          <w:szCs w:val="18"/>
        </w:rPr>
        <w:t xml:space="preserve"> March 2024 marked the end of the federally funded SHARE program which led to a loss of 5 staff positions.</w:t>
      </w:r>
    </w:p>
  </w:footnote>
  <w:footnote w:id="7">
    <w:p w14:paraId="568A3097" w14:textId="77777777" w:rsidR="00731178" w:rsidRPr="00CB687E" w:rsidRDefault="00731178" w:rsidP="0005513C">
      <w:pPr>
        <w:spacing w:after="0"/>
        <w:rPr>
          <w:rFonts w:cs="Tahoma"/>
          <w:sz w:val="18"/>
          <w:szCs w:val="18"/>
        </w:rPr>
      </w:pPr>
      <w:r w:rsidRPr="00CB687E">
        <w:rPr>
          <w:rStyle w:val="FootnoteReference"/>
          <w:rFonts w:cs="Tahoma"/>
          <w:sz w:val="18"/>
          <w:szCs w:val="18"/>
        </w:rPr>
        <w:footnoteRef/>
      </w:r>
      <w:r w:rsidRPr="00CB687E">
        <w:rPr>
          <w:rStyle w:val="FootnoteReference"/>
          <w:rFonts w:cs="Tahoma"/>
          <w:sz w:val="18"/>
          <w:szCs w:val="18"/>
        </w:rPr>
        <w:t xml:space="preserve"> </w:t>
      </w:r>
      <w:r w:rsidRPr="00CB687E">
        <w:rPr>
          <w:rFonts w:cs="Tahoma"/>
          <w:sz w:val="18"/>
          <w:szCs w:val="18"/>
        </w:rPr>
        <w:t>Counsel interviews were capped at 5 per month from May 2024 to December 2024, down from the standard 7 interviews per month which did not return until January 2025, to enable counsel the time to rebuild their file records, many of which were destroyed by the October 2023 cybersecurity incident.</w:t>
      </w:r>
    </w:p>
  </w:footnote>
  <w:footnote w:id="8">
    <w:p w14:paraId="0E76E959" w14:textId="77777777" w:rsidR="00731178" w:rsidRPr="00CB687E" w:rsidRDefault="00731178" w:rsidP="0005513C">
      <w:pPr>
        <w:pStyle w:val="FootnoteText"/>
      </w:pPr>
      <w:r w:rsidRPr="00CB687E">
        <w:rPr>
          <w:rStyle w:val="FootnoteReference"/>
          <w:rFonts w:ascii="Tahoma" w:hAnsi="Tahoma" w:cs="Tahoma"/>
          <w:sz w:val="18"/>
          <w:szCs w:val="18"/>
        </w:rPr>
        <w:footnoteRef/>
      </w:r>
      <w:r w:rsidRPr="00CB687E">
        <w:rPr>
          <w:rFonts w:ascii="Tahoma" w:hAnsi="Tahoma" w:cs="Tahoma"/>
          <w:sz w:val="18"/>
          <w:szCs w:val="18"/>
        </w:rPr>
        <w:t xml:space="preserve"> The HRLSC had to close its offices October 3, 2023 because of the cybersecurity incident, re-opening November 9, 2023, at reduced capacity.</w:t>
      </w:r>
      <w:r w:rsidRPr="00CB687E">
        <w:t xml:space="preserve"> </w:t>
      </w:r>
    </w:p>
  </w:footnote>
  <w:footnote w:id="9">
    <w:p w14:paraId="02E2C2AB" w14:textId="22DFC624" w:rsidR="00731178" w:rsidRPr="00CB687E" w:rsidRDefault="00731178" w:rsidP="002474F9">
      <w:pPr>
        <w:spacing w:after="0"/>
        <w:rPr>
          <w:rFonts w:cs="Tahoma"/>
          <w:sz w:val="18"/>
          <w:szCs w:val="18"/>
        </w:rPr>
      </w:pPr>
      <w:r w:rsidRPr="00CB687E">
        <w:rPr>
          <w:rStyle w:val="FootnoteReference"/>
          <w:rFonts w:cs="Tahoma"/>
          <w:sz w:val="18"/>
          <w:szCs w:val="18"/>
        </w:rPr>
        <w:footnoteRef/>
      </w:r>
      <w:r w:rsidRPr="00CB687E">
        <w:rPr>
          <w:rFonts w:cs="Tahoma"/>
          <w:sz w:val="18"/>
          <w:szCs w:val="18"/>
        </w:rPr>
        <w:t xml:space="preserve"> </w:t>
      </w:r>
      <w:r w:rsidR="00BD0888" w:rsidRPr="00CB687E">
        <w:rPr>
          <w:rFonts w:cs="Tahoma"/>
          <w:sz w:val="18"/>
          <w:szCs w:val="18"/>
        </w:rPr>
        <w:t xml:space="preserve">In 2024/25, the Centre represented 201 clients at the pre-mediation or mediation stages. Of those clients, 100% of them rated the services provided to them by the Centre as either very good or good. </w:t>
      </w:r>
    </w:p>
  </w:footnote>
  <w:footnote w:id="10">
    <w:p w14:paraId="5052CA99" w14:textId="3DCFD588" w:rsidR="00731178" w:rsidRPr="00CB687E" w:rsidRDefault="00731178" w:rsidP="00731178">
      <w:pPr>
        <w:pStyle w:val="FootnoteText"/>
        <w:rPr>
          <w:rFonts w:ascii="Tahoma" w:hAnsi="Tahoma" w:cs="Tahoma"/>
          <w:sz w:val="18"/>
          <w:szCs w:val="18"/>
        </w:rPr>
      </w:pPr>
      <w:r w:rsidRPr="00CB687E">
        <w:rPr>
          <w:rStyle w:val="FootnoteReference"/>
          <w:rFonts w:ascii="Tahoma" w:hAnsi="Tahoma" w:cs="Tahoma"/>
          <w:sz w:val="18"/>
          <w:szCs w:val="18"/>
        </w:rPr>
        <w:footnoteRef/>
      </w:r>
      <w:r w:rsidRPr="00CB687E">
        <w:rPr>
          <w:rFonts w:ascii="Tahoma" w:hAnsi="Tahoma" w:cs="Tahoma"/>
          <w:sz w:val="18"/>
          <w:szCs w:val="18"/>
        </w:rPr>
        <w:t xml:space="preserve"> The number of HRTO hearings attended last fiscal year were down from an estimated 76 in 23/24 to </w:t>
      </w:r>
      <w:r w:rsidR="006724F1" w:rsidRPr="00CB687E">
        <w:rPr>
          <w:rFonts w:ascii="Tahoma" w:hAnsi="Tahoma" w:cs="Tahoma"/>
          <w:sz w:val="18"/>
          <w:szCs w:val="18"/>
        </w:rPr>
        <w:t xml:space="preserve">44 </w:t>
      </w:r>
      <w:r w:rsidRPr="00CB687E">
        <w:rPr>
          <w:rFonts w:ascii="Tahoma" w:hAnsi="Tahoma" w:cs="Tahoma"/>
          <w:sz w:val="18"/>
          <w:szCs w:val="18"/>
        </w:rPr>
        <w:t>in 24/25. This represented a 15% decrease from the 2020-2024 average of 5</w:t>
      </w:r>
      <w:r w:rsidR="006724F1" w:rsidRPr="00CB687E">
        <w:rPr>
          <w:rFonts w:ascii="Tahoma" w:hAnsi="Tahoma" w:cs="Tahoma"/>
          <w:sz w:val="18"/>
          <w:szCs w:val="18"/>
        </w:rPr>
        <w:t>2</w:t>
      </w:r>
      <w:r w:rsidRPr="00CB687E">
        <w:rPr>
          <w:rFonts w:ascii="Tahoma" w:hAnsi="Tahoma" w:cs="Tahoma"/>
          <w:sz w:val="18"/>
          <w:szCs w:val="18"/>
        </w:rPr>
        <w:t xml:space="preserve"> HRTO hearings attended</w:t>
      </w:r>
      <w:r w:rsidR="006724F1" w:rsidRPr="00CB687E">
        <w:rPr>
          <w:rFonts w:ascii="Tahoma" w:hAnsi="Tahoma" w:cs="Tahoma"/>
          <w:sz w:val="18"/>
          <w:szCs w:val="18"/>
        </w:rPr>
        <w:t>.</w:t>
      </w:r>
    </w:p>
  </w:footnote>
  <w:footnote w:id="11">
    <w:p w14:paraId="13333D6F" w14:textId="088C4910" w:rsidR="00731178" w:rsidRPr="00CB687E" w:rsidRDefault="00731178" w:rsidP="00731178">
      <w:pPr>
        <w:pStyle w:val="FootnoteText"/>
        <w:rPr>
          <w:rFonts w:ascii="Tahoma" w:hAnsi="Tahoma" w:cs="Tahoma"/>
          <w:sz w:val="18"/>
          <w:szCs w:val="18"/>
        </w:rPr>
      </w:pPr>
      <w:r w:rsidRPr="00CB687E">
        <w:rPr>
          <w:rStyle w:val="FootnoteReference"/>
          <w:rFonts w:ascii="Tahoma" w:hAnsi="Tahoma" w:cs="Tahoma"/>
          <w:sz w:val="18"/>
          <w:szCs w:val="18"/>
        </w:rPr>
        <w:footnoteRef/>
      </w:r>
      <w:r w:rsidRPr="00CB687E">
        <w:rPr>
          <w:rFonts w:ascii="Tahoma" w:hAnsi="Tahoma" w:cs="Tahoma"/>
          <w:sz w:val="18"/>
          <w:szCs w:val="18"/>
        </w:rPr>
        <w:t xml:space="preserve"> For example, March 2024 marked the end of the SHARE program which led to a loss of 5 staff positions.</w:t>
      </w:r>
    </w:p>
  </w:footnote>
  <w:footnote w:id="12">
    <w:p w14:paraId="2FC87A61" w14:textId="77777777" w:rsidR="00731178" w:rsidRPr="00CB687E" w:rsidRDefault="00731178" w:rsidP="002474F9">
      <w:pPr>
        <w:spacing w:after="0"/>
      </w:pPr>
      <w:r w:rsidRPr="00CB687E">
        <w:rPr>
          <w:rStyle w:val="FootnoteReference"/>
          <w:rFonts w:cs="Tahoma"/>
          <w:sz w:val="18"/>
          <w:szCs w:val="18"/>
        </w:rPr>
        <w:footnoteRef/>
      </w:r>
      <w:r w:rsidRPr="00CB687E">
        <w:rPr>
          <w:rStyle w:val="FootnoteReference"/>
          <w:rFonts w:cs="Tahoma"/>
          <w:sz w:val="18"/>
          <w:szCs w:val="18"/>
        </w:rPr>
        <w:t xml:space="preserve"> </w:t>
      </w:r>
      <w:r w:rsidRPr="00CB687E">
        <w:rPr>
          <w:rFonts w:cs="Tahoma"/>
          <w:sz w:val="18"/>
          <w:szCs w:val="18"/>
        </w:rPr>
        <w:t>Counsel interviews were capped at 5 per month from May 2024 to December 2024, down from the standard 7 interviews per month which did not return until January 2025, to enable counsel the time to rebuild their file records, many of which were destroyed by the October 2023 cybersecurity incident.</w:t>
      </w:r>
    </w:p>
  </w:footnote>
  <w:footnote w:id="13">
    <w:p w14:paraId="390BB7C7" w14:textId="01E779A4" w:rsidR="00731178" w:rsidRPr="00CB687E" w:rsidRDefault="00731178" w:rsidP="00731178">
      <w:pPr>
        <w:pStyle w:val="FootnoteText"/>
        <w:rPr>
          <w:rFonts w:ascii="Tahoma" w:hAnsi="Tahoma" w:cs="Tahoma"/>
          <w:sz w:val="18"/>
          <w:szCs w:val="18"/>
        </w:rPr>
      </w:pPr>
      <w:r w:rsidRPr="00CB687E">
        <w:rPr>
          <w:rStyle w:val="FootnoteReference"/>
          <w:rFonts w:ascii="Tahoma" w:hAnsi="Tahoma" w:cs="Tahoma"/>
          <w:sz w:val="18"/>
          <w:szCs w:val="18"/>
        </w:rPr>
        <w:footnoteRef/>
      </w:r>
      <w:r w:rsidRPr="00CB687E">
        <w:rPr>
          <w:rFonts w:ascii="Tahoma" w:hAnsi="Tahoma" w:cs="Tahoma"/>
          <w:sz w:val="18"/>
          <w:szCs w:val="18"/>
        </w:rPr>
        <w:t xml:space="preserve"> For example, HRLSC had 5 Judicial Reviews/Leave To Appeals in 2024</w:t>
      </w:r>
      <w:r w:rsidR="009B65A0" w:rsidRPr="009B65A0">
        <w:rPr>
          <w:rFonts w:ascii="Tahoma" w:hAnsi="Tahoma" w:cs="Tahoma"/>
          <w:sz w:val="18"/>
          <w:szCs w:val="18"/>
        </w:rPr>
        <w:t>–</w:t>
      </w:r>
      <w:r w:rsidRPr="00CB687E">
        <w:rPr>
          <w:rFonts w:ascii="Tahoma" w:hAnsi="Tahoma" w:cs="Tahoma"/>
          <w:sz w:val="18"/>
          <w:szCs w:val="18"/>
        </w:rPr>
        <w:t xml:space="preserve">25 - 3 went to hearings and 2 settled, as compared to 3 Judicial Reviews in 2023-24 in which 1 went to hearing and 2 settled. </w:t>
      </w:r>
    </w:p>
  </w:footnote>
  <w:footnote w:id="14">
    <w:p w14:paraId="20012DF9" w14:textId="2CA0E64D" w:rsidR="00BB0799" w:rsidRPr="00ED2306" w:rsidRDefault="00BB0799" w:rsidP="00BB0799">
      <w:pPr>
        <w:tabs>
          <w:tab w:val="num" w:pos="720"/>
        </w:tabs>
        <w:spacing w:line="276" w:lineRule="auto"/>
        <w:rPr>
          <w:rFonts w:cs="Tahoma"/>
          <w:color w:val="222222"/>
          <w:sz w:val="18"/>
          <w:szCs w:val="18"/>
        </w:rPr>
      </w:pPr>
      <w:r w:rsidRPr="00CB687E">
        <w:rPr>
          <w:rStyle w:val="FootnoteReference"/>
          <w:rFonts w:cs="Tahoma"/>
          <w:sz w:val="18"/>
          <w:szCs w:val="18"/>
        </w:rPr>
        <w:footnoteRef/>
      </w:r>
      <w:r w:rsidR="00E21517" w:rsidRPr="00CB687E">
        <w:rPr>
          <w:rFonts w:cs="Tahoma"/>
          <w:sz w:val="18"/>
          <w:szCs w:val="18"/>
        </w:rPr>
        <w:t xml:space="preserve"> </w:t>
      </w:r>
      <w:r w:rsidRPr="00CB687E">
        <w:rPr>
          <w:rFonts w:cs="Tahoma"/>
          <w:sz w:val="18"/>
          <w:szCs w:val="18"/>
        </w:rPr>
        <w:t>One of seven core “Paris Principles” used internationally by the Global Alliance of National Human Rights institutions (GANHRI) as a minimum standard for a NHRI to be considered credible and to operate effectively, is: “</w:t>
      </w:r>
      <w:r w:rsidRPr="00CB687E">
        <w:rPr>
          <w:rFonts w:cs="Tahoma"/>
          <w:b/>
          <w:bCs/>
          <w:sz w:val="18"/>
          <w:szCs w:val="18"/>
        </w:rPr>
        <w:t>Adequate resources, so that NHRIs have the funding, staffing, infrastructure and institutional capacity to perform their functions and discharge their responsibilities</w:t>
      </w:r>
      <w:r w:rsidRPr="00CB687E">
        <w:rPr>
          <w:rFonts w:cs="Tahoma"/>
          <w:sz w:val="18"/>
          <w:szCs w:val="18"/>
        </w:rPr>
        <w:t>” (</w:t>
      </w:r>
      <w:hyperlink r:id="rId6" w:history="1">
        <w:r w:rsidRPr="00CB687E">
          <w:rPr>
            <w:rStyle w:val="Hyperlink"/>
            <w:rFonts w:cs="Tahoma"/>
            <w:sz w:val="18"/>
            <w:szCs w:val="18"/>
          </w:rPr>
          <w:t>https://ganhri.org/paris-principles/</w:t>
        </w:r>
      </w:hyperlink>
      <w:r w:rsidRPr="00CB687E">
        <w:rPr>
          <w:rFonts w:cs="Tahoma"/>
          <w:sz w:val="18"/>
          <w:szCs w:val="18"/>
        </w:rPr>
        <w:t xml:space="preserve">). </w:t>
      </w:r>
      <w:r w:rsidRPr="00CB687E">
        <w:rPr>
          <w:rFonts w:cs="Tahoma"/>
          <w:color w:val="222222"/>
          <w:sz w:val="18"/>
          <w:szCs w:val="18"/>
        </w:rPr>
        <w:t>GANHRI’s Sub-Committee on Accreditation (SCA) further expounds on the meaning of this Paris Principle in its “General Observations, 2018” guidance, which further states: “</w:t>
      </w:r>
      <w:r w:rsidRPr="00CB687E">
        <w:rPr>
          <w:rFonts w:cs="Tahoma"/>
          <w:b/>
          <w:bCs/>
          <w:color w:val="222222"/>
          <w:sz w:val="18"/>
          <w:szCs w:val="18"/>
        </w:rPr>
        <w:t>To function effectively, an NHRI must be provided with an appropriate level of funding in order to guarantee its independence and its ability to freely determine its priorities and activities. It must also have the power to allocate funding according to its priorities</w:t>
      </w:r>
      <w:r w:rsidRPr="00CB687E">
        <w:rPr>
          <w:rFonts w:cs="Tahoma"/>
          <w:color w:val="222222"/>
          <w:sz w:val="18"/>
          <w:szCs w:val="18"/>
        </w:rPr>
        <w:t>.” The SCA further states that adequate funding must at a minimum include “salaries and benefits awarded to its staff comparable to those of civil servants performing similar tasks in other independent institutions of the State” and “allocation of a sufficient amount of resources for mandated activities”. It also advises: “</w:t>
      </w:r>
      <w:r w:rsidRPr="00CB687E">
        <w:rPr>
          <w:rFonts w:cs="Tahoma"/>
          <w:b/>
          <w:bCs/>
          <w:color w:val="222222"/>
          <w:sz w:val="18"/>
          <w:szCs w:val="18"/>
        </w:rPr>
        <w:t>Funding from external sources…should not compose the core funding of the NHRI, as this is the responsibility of the State</w:t>
      </w:r>
      <w:r w:rsidRPr="00CB687E">
        <w:rPr>
          <w:rFonts w:cs="Tahoma"/>
          <w:color w:val="222222"/>
          <w:sz w:val="18"/>
          <w:szCs w:val="18"/>
        </w:rPr>
        <w:t>”; and “such funds should not be tied to donor-defined priorities but rather to the pre-determined priorities of the NHRI”.</w:t>
      </w:r>
      <w:r w:rsidRPr="00CB687E">
        <w:rPr>
          <w:rFonts w:cs="Tahoma"/>
          <w:sz w:val="18"/>
          <w:szCs w:val="18"/>
        </w:rPr>
        <w:t xml:space="preserve"> This and other </w:t>
      </w:r>
      <w:hyperlink r:id="rId7" w:history="1">
        <w:r w:rsidRPr="00CB687E">
          <w:rPr>
            <w:rStyle w:val="Hyperlink"/>
            <w:rFonts w:cs="Tahoma"/>
            <w:sz w:val="18"/>
            <w:szCs w:val="18"/>
          </w:rPr>
          <w:t>Paris Principles</w:t>
        </w:r>
      </w:hyperlink>
      <w:r w:rsidRPr="00CB687E">
        <w:rPr>
          <w:rFonts w:cs="Tahoma"/>
          <w:sz w:val="18"/>
          <w:szCs w:val="18"/>
        </w:rPr>
        <w:t xml:space="preserve"> can</w:t>
      </w:r>
      <w:r w:rsidRPr="00CB687E">
        <w:rPr>
          <w:rFonts w:cs="Tahoma"/>
          <w:color w:val="222222"/>
          <w:sz w:val="18"/>
          <w:szCs w:val="18"/>
        </w:rPr>
        <w:t xml:space="preserve"> and should be extended to the evaluation of provincial human rights institutions in federal states like Canada (see for example OHRC’s consideration of the Paris Principles at the time of Bill 107 in its “</w:t>
      </w:r>
      <w:hyperlink r:id="rId8" w:history="1">
        <w:r w:rsidRPr="00CB687E">
          <w:rPr>
            <w:rStyle w:val="Hyperlink"/>
            <w:rFonts w:cs="Tahoma"/>
            <w:sz w:val="18"/>
            <w:szCs w:val="18"/>
          </w:rPr>
          <w:t>Discussion paper: Reviewing Ontario's human rights system</w:t>
        </w:r>
      </w:hyperlink>
      <w:r w:rsidRPr="00CB687E">
        <w:rPr>
          <w:rFonts w:cs="Tahoma"/>
          <w:color w:val="222222"/>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2913675"/>
      <w:docPartObj>
        <w:docPartGallery w:val="Page Numbers (Margins)"/>
        <w:docPartUnique/>
      </w:docPartObj>
    </w:sdtPr>
    <w:sdtContent>
      <w:p w14:paraId="114F0CD7" w14:textId="3D3E3A49" w:rsidR="009C639F" w:rsidRDefault="00000000">
        <w:pPr>
          <w:pStyle w:val="Head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D5465" w14:textId="70807B74" w:rsidR="009C639F" w:rsidRDefault="009C6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9E9A2" w14:textId="77777777" w:rsidR="005565F9" w:rsidRDefault="005565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4592" w14:textId="77777777" w:rsidR="005565F9" w:rsidRDefault="005565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94E3C"/>
    <w:multiLevelType w:val="hybridMultilevel"/>
    <w:tmpl w:val="84C4F1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BE6D74"/>
    <w:multiLevelType w:val="multilevel"/>
    <w:tmpl w:val="FDF4425C"/>
    <w:lvl w:ilvl="0">
      <w:start w:val="1"/>
      <w:numFmt w:val="bullet"/>
      <w:lvlText w:val=""/>
      <w:lvlJc w:val="left"/>
      <w:pPr>
        <w:ind w:left="408" w:hanging="408"/>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E31ED5"/>
    <w:multiLevelType w:val="hybridMultilevel"/>
    <w:tmpl w:val="31E6BF3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BD64A05"/>
    <w:multiLevelType w:val="hybridMultilevel"/>
    <w:tmpl w:val="BC442E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0430AAB"/>
    <w:multiLevelType w:val="hybridMultilevel"/>
    <w:tmpl w:val="F65A71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3BF321D"/>
    <w:multiLevelType w:val="hybridMultilevel"/>
    <w:tmpl w:val="99361A3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59F36E3"/>
    <w:multiLevelType w:val="hybridMultilevel"/>
    <w:tmpl w:val="C9DA5FC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1D770AD6"/>
    <w:multiLevelType w:val="hybridMultilevel"/>
    <w:tmpl w:val="DDE8B9BE"/>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3215" w:hanging="360"/>
      </w:pPr>
      <w:rPr>
        <w:rFonts w:ascii="Courier New" w:hAnsi="Courier New" w:cs="Courier New" w:hint="default"/>
      </w:rPr>
    </w:lvl>
    <w:lvl w:ilvl="2" w:tplc="10090005" w:tentative="1">
      <w:start w:val="1"/>
      <w:numFmt w:val="bullet"/>
      <w:lvlText w:val=""/>
      <w:lvlJc w:val="left"/>
      <w:pPr>
        <w:ind w:left="3935" w:hanging="360"/>
      </w:pPr>
      <w:rPr>
        <w:rFonts w:ascii="Wingdings" w:hAnsi="Wingdings" w:hint="default"/>
      </w:rPr>
    </w:lvl>
    <w:lvl w:ilvl="3" w:tplc="10090001" w:tentative="1">
      <w:start w:val="1"/>
      <w:numFmt w:val="bullet"/>
      <w:lvlText w:val=""/>
      <w:lvlJc w:val="left"/>
      <w:pPr>
        <w:ind w:left="4655" w:hanging="360"/>
      </w:pPr>
      <w:rPr>
        <w:rFonts w:ascii="Symbol" w:hAnsi="Symbol" w:hint="default"/>
      </w:rPr>
    </w:lvl>
    <w:lvl w:ilvl="4" w:tplc="10090003" w:tentative="1">
      <w:start w:val="1"/>
      <w:numFmt w:val="bullet"/>
      <w:lvlText w:val="o"/>
      <w:lvlJc w:val="left"/>
      <w:pPr>
        <w:ind w:left="5375" w:hanging="360"/>
      </w:pPr>
      <w:rPr>
        <w:rFonts w:ascii="Courier New" w:hAnsi="Courier New" w:cs="Courier New" w:hint="default"/>
      </w:rPr>
    </w:lvl>
    <w:lvl w:ilvl="5" w:tplc="10090005" w:tentative="1">
      <w:start w:val="1"/>
      <w:numFmt w:val="bullet"/>
      <w:lvlText w:val=""/>
      <w:lvlJc w:val="left"/>
      <w:pPr>
        <w:ind w:left="6095" w:hanging="360"/>
      </w:pPr>
      <w:rPr>
        <w:rFonts w:ascii="Wingdings" w:hAnsi="Wingdings" w:hint="default"/>
      </w:rPr>
    </w:lvl>
    <w:lvl w:ilvl="6" w:tplc="10090001" w:tentative="1">
      <w:start w:val="1"/>
      <w:numFmt w:val="bullet"/>
      <w:lvlText w:val=""/>
      <w:lvlJc w:val="left"/>
      <w:pPr>
        <w:ind w:left="6815" w:hanging="360"/>
      </w:pPr>
      <w:rPr>
        <w:rFonts w:ascii="Symbol" w:hAnsi="Symbol" w:hint="default"/>
      </w:rPr>
    </w:lvl>
    <w:lvl w:ilvl="7" w:tplc="10090003" w:tentative="1">
      <w:start w:val="1"/>
      <w:numFmt w:val="bullet"/>
      <w:lvlText w:val="o"/>
      <w:lvlJc w:val="left"/>
      <w:pPr>
        <w:ind w:left="7535" w:hanging="360"/>
      </w:pPr>
      <w:rPr>
        <w:rFonts w:ascii="Courier New" w:hAnsi="Courier New" w:cs="Courier New" w:hint="default"/>
      </w:rPr>
    </w:lvl>
    <w:lvl w:ilvl="8" w:tplc="10090005" w:tentative="1">
      <w:start w:val="1"/>
      <w:numFmt w:val="bullet"/>
      <w:lvlText w:val=""/>
      <w:lvlJc w:val="left"/>
      <w:pPr>
        <w:ind w:left="8255" w:hanging="360"/>
      </w:pPr>
      <w:rPr>
        <w:rFonts w:ascii="Wingdings" w:hAnsi="Wingdings" w:hint="default"/>
      </w:rPr>
    </w:lvl>
  </w:abstractNum>
  <w:abstractNum w:abstractNumId="8" w15:restartNumberingAfterBreak="0">
    <w:nsid w:val="207C6802"/>
    <w:multiLevelType w:val="hybridMultilevel"/>
    <w:tmpl w:val="E70C605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233D093E"/>
    <w:multiLevelType w:val="multilevel"/>
    <w:tmpl w:val="C350768E"/>
    <w:lvl w:ilvl="0">
      <w:start w:val="5"/>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0" w15:restartNumberingAfterBreak="0">
    <w:nsid w:val="2C020835"/>
    <w:multiLevelType w:val="hybridMultilevel"/>
    <w:tmpl w:val="E758C2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DAB3C5B"/>
    <w:multiLevelType w:val="multilevel"/>
    <w:tmpl w:val="66B82AF4"/>
    <w:lvl w:ilvl="0">
      <w:start w:val="3"/>
      <w:numFmt w:val="decimal"/>
      <w:lvlText w:val="%1."/>
      <w:lvlJc w:val="left"/>
      <w:pPr>
        <w:ind w:left="360" w:hanging="360"/>
      </w:pPr>
      <w:rPr>
        <w:rFonts w:hint="default"/>
      </w:rPr>
    </w:lvl>
    <w:lvl w:ilvl="1">
      <w:start w:val="1"/>
      <w:numFmt w:val="decimal"/>
      <w:isLgl/>
      <w:lvlText w:val="%1.%2."/>
      <w:lvlJc w:val="left"/>
      <w:pPr>
        <w:ind w:left="1080" w:hanging="1080"/>
      </w:pPr>
      <w:rPr>
        <w:rFonts w:hint="default"/>
      </w:r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12" w15:restartNumberingAfterBreak="0">
    <w:nsid w:val="300C7E88"/>
    <w:multiLevelType w:val="hybridMultilevel"/>
    <w:tmpl w:val="D908A7AC"/>
    <w:lvl w:ilvl="0" w:tplc="04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32D55DAC"/>
    <w:multiLevelType w:val="hybridMultilevel"/>
    <w:tmpl w:val="B8484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6AA50CE"/>
    <w:multiLevelType w:val="multilevel"/>
    <w:tmpl w:val="2788FAD2"/>
    <w:lvl w:ilvl="0">
      <w:start w:val="1"/>
      <w:numFmt w:val="bullet"/>
      <w:lvlText w:val="o"/>
      <w:lvlJc w:val="left"/>
      <w:pPr>
        <w:ind w:left="816" w:hanging="408"/>
      </w:pPr>
      <w:rPr>
        <w:rFonts w:ascii="Courier New" w:hAnsi="Courier New" w:hint="default"/>
      </w:rPr>
    </w:lvl>
    <w:lvl w:ilvl="1">
      <w:start w:val="1"/>
      <w:numFmt w:val="bullet"/>
      <w:lvlText w:val=""/>
      <w:lvlJc w:val="left"/>
      <w:pPr>
        <w:ind w:left="768" w:hanging="360"/>
      </w:pPr>
      <w:rPr>
        <w:rFonts w:ascii="Symbol" w:hAnsi="Symbol" w:hint="default"/>
      </w:rPr>
    </w:lvl>
    <w:lvl w:ilvl="2">
      <w:start w:val="1"/>
      <w:numFmt w:val="decimal"/>
      <w:lvlText w:val="%1.%2.%3."/>
      <w:lvlJc w:val="left"/>
      <w:pPr>
        <w:ind w:left="1128" w:hanging="720"/>
      </w:pPr>
      <w:rPr>
        <w:rFonts w:hint="default"/>
      </w:rPr>
    </w:lvl>
    <w:lvl w:ilvl="3">
      <w:start w:val="1"/>
      <w:numFmt w:val="decimal"/>
      <w:lvlText w:val="%1.%2.%3.%4."/>
      <w:lvlJc w:val="left"/>
      <w:pPr>
        <w:ind w:left="1488"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848" w:hanging="1440"/>
      </w:pPr>
      <w:rPr>
        <w:rFonts w:hint="default"/>
      </w:rPr>
    </w:lvl>
    <w:lvl w:ilvl="6">
      <w:start w:val="1"/>
      <w:numFmt w:val="decimal"/>
      <w:lvlText w:val="%1.%2.%3.%4.%5.%6.%7."/>
      <w:lvlJc w:val="left"/>
      <w:pPr>
        <w:ind w:left="1848" w:hanging="1440"/>
      </w:pPr>
      <w:rPr>
        <w:rFonts w:hint="default"/>
      </w:rPr>
    </w:lvl>
    <w:lvl w:ilvl="7">
      <w:start w:val="1"/>
      <w:numFmt w:val="decimal"/>
      <w:lvlText w:val="%1.%2.%3.%4.%5.%6.%7.%8."/>
      <w:lvlJc w:val="left"/>
      <w:pPr>
        <w:ind w:left="2208" w:hanging="1800"/>
      </w:pPr>
      <w:rPr>
        <w:rFonts w:hint="default"/>
      </w:rPr>
    </w:lvl>
    <w:lvl w:ilvl="8">
      <w:start w:val="1"/>
      <w:numFmt w:val="decimal"/>
      <w:lvlText w:val="%1.%2.%3.%4.%5.%6.%7.%8.%9."/>
      <w:lvlJc w:val="left"/>
      <w:pPr>
        <w:ind w:left="2208" w:hanging="1800"/>
      </w:pPr>
      <w:rPr>
        <w:rFonts w:hint="default"/>
      </w:rPr>
    </w:lvl>
  </w:abstractNum>
  <w:abstractNum w:abstractNumId="15" w15:restartNumberingAfterBreak="0">
    <w:nsid w:val="38A13804"/>
    <w:multiLevelType w:val="hybridMultilevel"/>
    <w:tmpl w:val="548629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FE1204C"/>
    <w:multiLevelType w:val="hybridMultilevel"/>
    <w:tmpl w:val="7A8CDCD0"/>
    <w:lvl w:ilvl="0" w:tplc="04090001">
      <w:start w:val="1"/>
      <w:numFmt w:val="bullet"/>
      <w:lvlText w:val=""/>
      <w:lvlJc w:val="left"/>
      <w:pPr>
        <w:ind w:left="360" w:hanging="360"/>
      </w:pPr>
      <w:rPr>
        <w:rFonts w:ascii="Symbol" w:hAnsi="Symbol" w:hint="default"/>
      </w:rPr>
    </w:lvl>
    <w:lvl w:ilvl="1" w:tplc="DB783D6A">
      <w:numFmt w:val="bullet"/>
      <w:lvlText w:val="•"/>
      <w:lvlJc w:val="left"/>
      <w:pPr>
        <w:ind w:left="1440" w:hanging="720"/>
      </w:pPr>
      <w:rPr>
        <w:rFonts w:ascii="Aptos" w:eastAsiaTheme="minorHAnsi" w:hAnsi="Aptos"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0FA4C4C"/>
    <w:multiLevelType w:val="hybridMultilevel"/>
    <w:tmpl w:val="946C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296805"/>
    <w:multiLevelType w:val="hybridMultilevel"/>
    <w:tmpl w:val="6F3CD9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5306499B"/>
    <w:multiLevelType w:val="hybridMultilevel"/>
    <w:tmpl w:val="36A012B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54A74A5E"/>
    <w:multiLevelType w:val="multilevel"/>
    <w:tmpl w:val="75887BD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5D2B7FED"/>
    <w:multiLevelType w:val="hybridMultilevel"/>
    <w:tmpl w:val="E124B2E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5D7A68BB"/>
    <w:multiLevelType w:val="multilevel"/>
    <w:tmpl w:val="FDF4425C"/>
    <w:lvl w:ilvl="0">
      <w:start w:val="1"/>
      <w:numFmt w:val="bullet"/>
      <w:lvlText w:val=""/>
      <w:lvlJc w:val="left"/>
      <w:pPr>
        <w:ind w:left="408" w:hanging="408"/>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FB6127A"/>
    <w:multiLevelType w:val="hybridMultilevel"/>
    <w:tmpl w:val="1FC8AC1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5FF57CEC"/>
    <w:multiLevelType w:val="hybridMultilevel"/>
    <w:tmpl w:val="68E8F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BC4F9D"/>
    <w:multiLevelType w:val="multilevel"/>
    <w:tmpl w:val="242E7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A1260B"/>
    <w:multiLevelType w:val="hybridMultilevel"/>
    <w:tmpl w:val="5E2E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43217C"/>
    <w:multiLevelType w:val="hybridMultilevel"/>
    <w:tmpl w:val="9D869E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9FE042B"/>
    <w:multiLevelType w:val="hybridMultilevel"/>
    <w:tmpl w:val="42C0412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9" w15:restartNumberingAfterBreak="0">
    <w:nsid w:val="6BAB5B4C"/>
    <w:multiLevelType w:val="hybridMultilevel"/>
    <w:tmpl w:val="62783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CBA7AC5"/>
    <w:multiLevelType w:val="hybridMultilevel"/>
    <w:tmpl w:val="A6CC4D10"/>
    <w:lvl w:ilvl="0" w:tplc="87C05E56">
      <w:numFmt w:val="bullet"/>
      <w:lvlText w:val="•"/>
      <w:lvlJc w:val="left"/>
      <w:pPr>
        <w:ind w:left="720" w:hanging="720"/>
      </w:pPr>
      <w:rPr>
        <w:rFonts w:ascii="Aptos" w:eastAsiaTheme="minorHAnsi" w:hAnsi="Apto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53A7284"/>
    <w:multiLevelType w:val="hybridMultilevel"/>
    <w:tmpl w:val="041AC380"/>
    <w:lvl w:ilvl="0" w:tplc="04C6608A">
      <w:start w:val="1"/>
      <w:numFmt w:val="decimal"/>
      <w:lvlText w:val="%1."/>
      <w:lvlJc w:val="left"/>
      <w:pPr>
        <w:ind w:left="576" w:hanging="576"/>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15:restartNumberingAfterBreak="0">
    <w:nsid w:val="7D172415"/>
    <w:multiLevelType w:val="hybridMultilevel"/>
    <w:tmpl w:val="EAE26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13493662">
    <w:abstractNumId w:val="16"/>
  </w:num>
  <w:num w:numId="2" w16cid:durableId="2095395217">
    <w:abstractNumId w:val="30"/>
  </w:num>
  <w:num w:numId="3" w16cid:durableId="854612679">
    <w:abstractNumId w:val="18"/>
  </w:num>
  <w:num w:numId="4" w16cid:durableId="697851035">
    <w:abstractNumId w:val="29"/>
  </w:num>
  <w:num w:numId="5" w16cid:durableId="573391729">
    <w:abstractNumId w:val="32"/>
  </w:num>
  <w:num w:numId="6" w16cid:durableId="743650018">
    <w:abstractNumId w:val="11"/>
  </w:num>
  <w:num w:numId="7" w16cid:durableId="1597322288">
    <w:abstractNumId w:val="26"/>
  </w:num>
  <w:num w:numId="8" w16cid:durableId="2054886049">
    <w:abstractNumId w:val="17"/>
  </w:num>
  <w:num w:numId="9" w16cid:durableId="758596691">
    <w:abstractNumId w:val="28"/>
  </w:num>
  <w:num w:numId="10" w16cid:durableId="765924437">
    <w:abstractNumId w:val="13"/>
  </w:num>
  <w:num w:numId="11" w16cid:durableId="1503469596">
    <w:abstractNumId w:val="1"/>
  </w:num>
  <w:num w:numId="12" w16cid:durableId="1575165802">
    <w:abstractNumId w:val="27"/>
  </w:num>
  <w:num w:numId="13" w16cid:durableId="2015186371">
    <w:abstractNumId w:val="9"/>
  </w:num>
  <w:num w:numId="14" w16cid:durableId="831718186">
    <w:abstractNumId w:val="31"/>
  </w:num>
  <w:num w:numId="15" w16cid:durableId="1133135408">
    <w:abstractNumId w:val="25"/>
  </w:num>
  <w:num w:numId="16" w16cid:durableId="105084529">
    <w:abstractNumId w:val="12"/>
  </w:num>
  <w:num w:numId="17" w16cid:durableId="1521625815">
    <w:abstractNumId w:val="20"/>
  </w:num>
  <w:num w:numId="18" w16cid:durableId="71440364">
    <w:abstractNumId w:val="24"/>
  </w:num>
  <w:num w:numId="19" w16cid:durableId="290939418">
    <w:abstractNumId w:val="6"/>
  </w:num>
  <w:num w:numId="20" w16cid:durableId="1465924805">
    <w:abstractNumId w:val="2"/>
  </w:num>
  <w:num w:numId="21" w16cid:durableId="271787060">
    <w:abstractNumId w:val="8"/>
  </w:num>
  <w:num w:numId="22" w16cid:durableId="1205366040">
    <w:abstractNumId w:val="0"/>
  </w:num>
  <w:num w:numId="23" w16cid:durableId="866985179">
    <w:abstractNumId w:val="3"/>
  </w:num>
  <w:num w:numId="24" w16cid:durableId="2088113769">
    <w:abstractNumId w:val="23"/>
  </w:num>
  <w:num w:numId="25" w16cid:durableId="2049799323">
    <w:abstractNumId w:val="15"/>
  </w:num>
  <w:num w:numId="26" w16cid:durableId="632096773">
    <w:abstractNumId w:val="21"/>
  </w:num>
  <w:num w:numId="27" w16cid:durableId="1867013445">
    <w:abstractNumId w:val="22"/>
  </w:num>
  <w:num w:numId="28" w16cid:durableId="669794325">
    <w:abstractNumId w:val="7"/>
  </w:num>
  <w:num w:numId="29" w16cid:durableId="1390108641">
    <w:abstractNumId w:val="5"/>
  </w:num>
  <w:num w:numId="30" w16cid:durableId="1144199136">
    <w:abstractNumId w:val="14"/>
  </w:num>
  <w:num w:numId="31" w16cid:durableId="478115992">
    <w:abstractNumId w:val="10"/>
  </w:num>
  <w:num w:numId="32" w16cid:durableId="535238680">
    <w:abstractNumId w:val="4"/>
  </w:num>
  <w:num w:numId="33" w16cid:durableId="374813100">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AFA"/>
    <w:rsid w:val="00000D70"/>
    <w:rsid w:val="00004833"/>
    <w:rsid w:val="00007C1D"/>
    <w:rsid w:val="00007F68"/>
    <w:rsid w:val="00010375"/>
    <w:rsid w:val="000115F4"/>
    <w:rsid w:val="0001230E"/>
    <w:rsid w:val="000133D2"/>
    <w:rsid w:val="000157A7"/>
    <w:rsid w:val="00015FCD"/>
    <w:rsid w:val="00017BC1"/>
    <w:rsid w:val="0002019C"/>
    <w:rsid w:val="00022132"/>
    <w:rsid w:val="00022632"/>
    <w:rsid w:val="00024B49"/>
    <w:rsid w:val="00025673"/>
    <w:rsid w:val="00025D84"/>
    <w:rsid w:val="00032481"/>
    <w:rsid w:val="000362F1"/>
    <w:rsid w:val="00040F55"/>
    <w:rsid w:val="00042D3C"/>
    <w:rsid w:val="000439F1"/>
    <w:rsid w:val="00043FF8"/>
    <w:rsid w:val="00044F18"/>
    <w:rsid w:val="000458A9"/>
    <w:rsid w:val="0005032A"/>
    <w:rsid w:val="0005289E"/>
    <w:rsid w:val="0005358C"/>
    <w:rsid w:val="00054EC4"/>
    <w:rsid w:val="0005513C"/>
    <w:rsid w:val="00056C86"/>
    <w:rsid w:val="000571AE"/>
    <w:rsid w:val="00061C95"/>
    <w:rsid w:val="0006371F"/>
    <w:rsid w:val="00064E54"/>
    <w:rsid w:val="00066404"/>
    <w:rsid w:val="000665C3"/>
    <w:rsid w:val="00071678"/>
    <w:rsid w:val="000720BF"/>
    <w:rsid w:val="000746FE"/>
    <w:rsid w:val="00075D59"/>
    <w:rsid w:val="00076D45"/>
    <w:rsid w:val="0008184D"/>
    <w:rsid w:val="00081DF8"/>
    <w:rsid w:val="00086A1B"/>
    <w:rsid w:val="00087256"/>
    <w:rsid w:val="0009071A"/>
    <w:rsid w:val="00091A28"/>
    <w:rsid w:val="00092442"/>
    <w:rsid w:val="00092D63"/>
    <w:rsid w:val="000935EB"/>
    <w:rsid w:val="00093DC8"/>
    <w:rsid w:val="000968D1"/>
    <w:rsid w:val="000A18B0"/>
    <w:rsid w:val="000A4EA4"/>
    <w:rsid w:val="000B054F"/>
    <w:rsid w:val="000B41FA"/>
    <w:rsid w:val="000B5672"/>
    <w:rsid w:val="000B57E1"/>
    <w:rsid w:val="000B59EA"/>
    <w:rsid w:val="000B5FA2"/>
    <w:rsid w:val="000B7CD1"/>
    <w:rsid w:val="000C00EA"/>
    <w:rsid w:val="000C4BB1"/>
    <w:rsid w:val="000C768B"/>
    <w:rsid w:val="000C779F"/>
    <w:rsid w:val="000D1171"/>
    <w:rsid w:val="000D1462"/>
    <w:rsid w:val="000D2162"/>
    <w:rsid w:val="000D3125"/>
    <w:rsid w:val="000D336B"/>
    <w:rsid w:val="000D3A04"/>
    <w:rsid w:val="000D49ED"/>
    <w:rsid w:val="000D7B4D"/>
    <w:rsid w:val="000E119C"/>
    <w:rsid w:val="000E14DA"/>
    <w:rsid w:val="000E1556"/>
    <w:rsid w:val="000E15FF"/>
    <w:rsid w:val="000E22B4"/>
    <w:rsid w:val="000E2A96"/>
    <w:rsid w:val="000E5230"/>
    <w:rsid w:val="000E52FF"/>
    <w:rsid w:val="000E6BCB"/>
    <w:rsid w:val="000F20E0"/>
    <w:rsid w:val="000F2D21"/>
    <w:rsid w:val="000F31F9"/>
    <w:rsid w:val="000F5475"/>
    <w:rsid w:val="000F5ACC"/>
    <w:rsid w:val="00101662"/>
    <w:rsid w:val="00101A90"/>
    <w:rsid w:val="001022C0"/>
    <w:rsid w:val="00104198"/>
    <w:rsid w:val="001050A3"/>
    <w:rsid w:val="00105996"/>
    <w:rsid w:val="00110800"/>
    <w:rsid w:val="00110B10"/>
    <w:rsid w:val="00115888"/>
    <w:rsid w:val="0011675C"/>
    <w:rsid w:val="00116F6E"/>
    <w:rsid w:val="001200F1"/>
    <w:rsid w:val="00121AF9"/>
    <w:rsid w:val="00122AE0"/>
    <w:rsid w:val="00125155"/>
    <w:rsid w:val="0012717B"/>
    <w:rsid w:val="001273E5"/>
    <w:rsid w:val="00127E32"/>
    <w:rsid w:val="00127E41"/>
    <w:rsid w:val="00130D88"/>
    <w:rsid w:val="00131020"/>
    <w:rsid w:val="00133C03"/>
    <w:rsid w:val="00134CA9"/>
    <w:rsid w:val="00140708"/>
    <w:rsid w:val="00140CC9"/>
    <w:rsid w:val="00146405"/>
    <w:rsid w:val="0015063E"/>
    <w:rsid w:val="001519D9"/>
    <w:rsid w:val="00154CEB"/>
    <w:rsid w:val="00155FD3"/>
    <w:rsid w:val="00157647"/>
    <w:rsid w:val="001613C6"/>
    <w:rsid w:val="00163C64"/>
    <w:rsid w:val="00163ED1"/>
    <w:rsid w:val="00164381"/>
    <w:rsid w:val="00164BEA"/>
    <w:rsid w:val="00164D06"/>
    <w:rsid w:val="0016632D"/>
    <w:rsid w:val="00170444"/>
    <w:rsid w:val="001709F0"/>
    <w:rsid w:val="00173630"/>
    <w:rsid w:val="00175BD0"/>
    <w:rsid w:val="00181635"/>
    <w:rsid w:val="00181A8B"/>
    <w:rsid w:val="001826CB"/>
    <w:rsid w:val="0018283C"/>
    <w:rsid w:val="001829F1"/>
    <w:rsid w:val="00183C68"/>
    <w:rsid w:val="0018664D"/>
    <w:rsid w:val="001905D0"/>
    <w:rsid w:val="00191D95"/>
    <w:rsid w:val="00192784"/>
    <w:rsid w:val="00192EC8"/>
    <w:rsid w:val="001949BA"/>
    <w:rsid w:val="00194A76"/>
    <w:rsid w:val="0019573B"/>
    <w:rsid w:val="001A2AFF"/>
    <w:rsid w:val="001A4D56"/>
    <w:rsid w:val="001A677A"/>
    <w:rsid w:val="001A7829"/>
    <w:rsid w:val="001B2E80"/>
    <w:rsid w:val="001B2F4C"/>
    <w:rsid w:val="001B3AAA"/>
    <w:rsid w:val="001B4658"/>
    <w:rsid w:val="001B6EA1"/>
    <w:rsid w:val="001B7199"/>
    <w:rsid w:val="001B720B"/>
    <w:rsid w:val="001B7C65"/>
    <w:rsid w:val="001C0D76"/>
    <w:rsid w:val="001C0FE3"/>
    <w:rsid w:val="001C37E0"/>
    <w:rsid w:val="001C4E0E"/>
    <w:rsid w:val="001C5C50"/>
    <w:rsid w:val="001C7329"/>
    <w:rsid w:val="001D03B8"/>
    <w:rsid w:val="001D077D"/>
    <w:rsid w:val="001D2B0C"/>
    <w:rsid w:val="001D2EA3"/>
    <w:rsid w:val="001D3C8C"/>
    <w:rsid w:val="001D4148"/>
    <w:rsid w:val="001D48F6"/>
    <w:rsid w:val="001D494B"/>
    <w:rsid w:val="001D5266"/>
    <w:rsid w:val="001D57EF"/>
    <w:rsid w:val="001D5C2D"/>
    <w:rsid w:val="001D666C"/>
    <w:rsid w:val="001E0518"/>
    <w:rsid w:val="001E2278"/>
    <w:rsid w:val="001E7994"/>
    <w:rsid w:val="001E7F6C"/>
    <w:rsid w:val="001F03DA"/>
    <w:rsid w:val="001F2283"/>
    <w:rsid w:val="001F3A0A"/>
    <w:rsid w:val="001F5123"/>
    <w:rsid w:val="001F6A30"/>
    <w:rsid w:val="00200210"/>
    <w:rsid w:val="00201C08"/>
    <w:rsid w:val="00202A90"/>
    <w:rsid w:val="00202F40"/>
    <w:rsid w:val="00202F6B"/>
    <w:rsid w:val="00204385"/>
    <w:rsid w:val="00204985"/>
    <w:rsid w:val="0020536D"/>
    <w:rsid w:val="00205932"/>
    <w:rsid w:val="002077AB"/>
    <w:rsid w:val="0021127E"/>
    <w:rsid w:val="00215096"/>
    <w:rsid w:val="00215ACC"/>
    <w:rsid w:val="00217C3B"/>
    <w:rsid w:val="00221A4D"/>
    <w:rsid w:val="00221F6B"/>
    <w:rsid w:val="00222BB7"/>
    <w:rsid w:val="00224453"/>
    <w:rsid w:val="002252F4"/>
    <w:rsid w:val="0022545B"/>
    <w:rsid w:val="00226BDB"/>
    <w:rsid w:val="00226D2D"/>
    <w:rsid w:val="002274B2"/>
    <w:rsid w:val="00232D29"/>
    <w:rsid w:val="00233DB3"/>
    <w:rsid w:val="00234F78"/>
    <w:rsid w:val="00235A62"/>
    <w:rsid w:val="00235B3C"/>
    <w:rsid w:val="0023623C"/>
    <w:rsid w:val="00236496"/>
    <w:rsid w:val="00236C8D"/>
    <w:rsid w:val="00237221"/>
    <w:rsid w:val="0024140E"/>
    <w:rsid w:val="00241D11"/>
    <w:rsid w:val="0024424E"/>
    <w:rsid w:val="00245268"/>
    <w:rsid w:val="002464FE"/>
    <w:rsid w:val="002474F9"/>
    <w:rsid w:val="0024775F"/>
    <w:rsid w:val="00250D36"/>
    <w:rsid w:val="002518C4"/>
    <w:rsid w:val="002518D2"/>
    <w:rsid w:val="00252124"/>
    <w:rsid w:val="00252E14"/>
    <w:rsid w:val="00253CE2"/>
    <w:rsid w:val="0025681D"/>
    <w:rsid w:val="00256896"/>
    <w:rsid w:val="002600CD"/>
    <w:rsid w:val="00262658"/>
    <w:rsid w:val="0026406C"/>
    <w:rsid w:val="00264313"/>
    <w:rsid w:val="00264DDE"/>
    <w:rsid w:val="00265C9B"/>
    <w:rsid w:val="002702C2"/>
    <w:rsid w:val="002703DB"/>
    <w:rsid w:val="0027163E"/>
    <w:rsid w:val="00273068"/>
    <w:rsid w:val="00274314"/>
    <w:rsid w:val="00274DDF"/>
    <w:rsid w:val="00276EF7"/>
    <w:rsid w:val="00277292"/>
    <w:rsid w:val="00280A1F"/>
    <w:rsid w:val="00281F6A"/>
    <w:rsid w:val="002847A3"/>
    <w:rsid w:val="00285556"/>
    <w:rsid w:val="00287471"/>
    <w:rsid w:val="00287562"/>
    <w:rsid w:val="00290F56"/>
    <w:rsid w:val="00291E20"/>
    <w:rsid w:val="00292BAD"/>
    <w:rsid w:val="00293742"/>
    <w:rsid w:val="0029388A"/>
    <w:rsid w:val="0029468E"/>
    <w:rsid w:val="00294953"/>
    <w:rsid w:val="002952A0"/>
    <w:rsid w:val="002A0188"/>
    <w:rsid w:val="002A0235"/>
    <w:rsid w:val="002A13D2"/>
    <w:rsid w:val="002A320B"/>
    <w:rsid w:val="002A3660"/>
    <w:rsid w:val="002A3792"/>
    <w:rsid w:val="002A39DE"/>
    <w:rsid w:val="002A5EC1"/>
    <w:rsid w:val="002A622E"/>
    <w:rsid w:val="002A6E8C"/>
    <w:rsid w:val="002B0C9F"/>
    <w:rsid w:val="002B2C89"/>
    <w:rsid w:val="002B3989"/>
    <w:rsid w:val="002B3B47"/>
    <w:rsid w:val="002B53A9"/>
    <w:rsid w:val="002B5CD5"/>
    <w:rsid w:val="002B60B6"/>
    <w:rsid w:val="002B7886"/>
    <w:rsid w:val="002C3C44"/>
    <w:rsid w:val="002C3C5E"/>
    <w:rsid w:val="002C6E53"/>
    <w:rsid w:val="002D5C1A"/>
    <w:rsid w:val="002D675D"/>
    <w:rsid w:val="002D780E"/>
    <w:rsid w:val="002E2C32"/>
    <w:rsid w:val="002E356A"/>
    <w:rsid w:val="002E4C3E"/>
    <w:rsid w:val="002E6B9F"/>
    <w:rsid w:val="002E6F20"/>
    <w:rsid w:val="002E7147"/>
    <w:rsid w:val="002E7B75"/>
    <w:rsid w:val="002E7DEB"/>
    <w:rsid w:val="002F06D2"/>
    <w:rsid w:val="002F1C97"/>
    <w:rsid w:val="002F4BDA"/>
    <w:rsid w:val="002F605E"/>
    <w:rsid w:val="00301855"/>
    <w:rsid w:val="0030277B"/>
    <w:rsid w:val="00304683"/>
    <w:rsid w:val="003048B2"/>
    <w:rsid w:val="00312F04"/>
    <w:rsid w:val="00313AE2"/>
    <w:rsid w:val="00313D51"/>
    <w:rsid w:val="00315AFB"/>
    <w:rsid w:val="00315D77"/>
    <w:rsid w:val="003178DB"/>
    <w:rsid w:val="00321493"/>
    <w:rsid w:val="00321C96"/>
    <w:rsid w:val="003242D1"/>
    <w:rsid w:val="00324309"/>
    <w:rsid w:val="003249AC"/>
    <w:rsid w:val="00326135"/>
    <w:rsid w:val="003267D8"/>
    <w:rsid w:val="00326E34"/>
    <w:rsid w:val="00330C17"/>
    <w:rsid w:val="0033399C"/>
    <w:rsid w:val="003341C4"/>
    <w:rsid w:val="00334C08"/>
    <w:rsid w:val="003401BC"/>
    <w:rsid w:val="003421C5"/>
    <w:rsid w:val="00351318"/>
    <w:rsid w:val="00352EC1"/>
    <w:rsid w:val="003538A5"/>
    <w:rsid w:val="0035780D"/>
    <w:rsid w:val="00360C81"/>
    <w:rsid w:val="0036142B"/>
    <w:rsid w:val="003617A1"/>
    <w:rsid w:val="00363AE6"/>
    <w:rsid w:val="003666F8"/>
    <w:rsid w:val="00367DB7"/>
    <w:rsid w:val="00371EA6"/>
    <w:rsid w:val="003721BC"/>
    <w:rsid w:val="003726CA"/>
    <w:rsid w:val="00374736"/>
    <w:rsid w:val="00374779"/>
    <w:rsid w:val="00376DFD"/>
    <w:rsid w:val="003825C9"/>
    <w:rsid w:val="00384694"/>
    <w:rsid w:val="00385384"/>
    <w:rsid w:val="0038714A"/>
    <w:rsid w:val="0038740D"/>
    <w:rsid w:val="00387A95"/>
    <w:rsid w:val="00396E1F"/>
    <w:rsid w:val="003A0285"/>
    <w:rsid w:val="003A156E"/>
    <w:rsid w:val="003A3BE4"/>
    <w:rsid w:val="003A5FB7"/>
    <w:rsid w:val="003A6799"/>
    <w:rsid w:val="003A6C11"/>
    <w:rsid w:val="003A7519"/>
    <w:rsid w:val="003B2348"/>
    <w:rsid w:val="003B244A"/>
    <w:rsid w:val="003B2BC1"/>
    <w:rsid w:val="003B4066"/>
    <w:rsid w:val="003B68F8"/>
    <w:rsid w:val="003B6A1D"/>
    <w:rsid w:val="003C19EA"/>
    <w:rsid w:val="003C3F77"/>
    <w:rsid w:val="003C4009"/>
    <w:rsid w:val="003C790A"/>
    <w:rsid w:val="003D1B2B"/>
    <w:rsid w:val="003D38DF"/>
    <w:rsid w:val="003D41EF"/>
    <w:rsid w:val="003E13FE"/>
    <w:rsid w:val="003E4A74"/>
    <w:rsid w:val="003E5975"/>
    <w:rsid w:val="003E63E6"/>
    <w:rsid w:val="003E79D4"/>
    <w:rsid w:val="003E7EA5"/>
    <w:rsid w:val="003F0169"/>
    <w:rsid w:val="003F07CD"/>
    <w:rsid w:val="003F4DE2"/>
    <w:rsid w:val="003F532D"/>
    <w:rsid w:val="003F5EDE"/>
    <w:rsid w:val="003F6B06"/>
    <w:rsid w:val="003F6C65"/>
    <w:rsid w:val="003F77F2"/>
    <w:rsid w:val="00402C4C"/>
    <w:rsid w:val="004035CD"/>
    <w:rsid w:val="00404DC7"/>
    <w:rsid w:val="00405876"/>
    <w:rsid w:val="004059CB"/>
    <w:rsid w:val="00410C53"/>
    <w:rsid w:val="00412BA4"/>
    <w:rsid w:val="00414882"/>
    <w:rsid w:val="004151CF"/>
    <w:rsid w:val="00415EC1"/>
    <w:rsid w:val="00416031"/>
    <w:rsid w:val="00417BA2"/>
    <w:rsid w:val="00420A84"/>
    <w:rsid w:val="004222FD"/>
    <w:rsid w:val="004228A6"/>
    <w:rsid w:val="00423010"/>
    <w:rsid w:val="00423952"/>
    <w:rsid w:val="00425439"/>
    <w:rsid w:val="004257D9"/>
    <w:rsid w:val="00425B47"/>
    <w:rsid w:val="00431271"/>
    <w:rsid w:val="00431B8B"/>
    <w:rsid w:val="00433033"/>
    <w:rsid w:val="0043306B"/>
    <w:rsid w:val="00433293"/>
    <w:rsid w:val="004334C5"/>
    <w:rsid w:val="00433A6F"/>
    <w:rsid w:val="00434041"/>
    <w:rsid w:val="00434492"/>
    <w:rsid w:val="004347BB"/>
    <w:rsid w:val="00435C70"/>
    <w:rsid w:val="004360D9"/>
    <w:rsid w:val="004367B7"/>
    <w:rsid w:val="00440058"/>
    <w:rsid w:val="004403EC"/>
    <w:rsid w:val="0044376E"/>
    <w:rsid w:val="0044472A"/>
    <w:rsid w:val="004459AC"/>
    <w:rsid w:val="004541BA"/>
    <w:rsid w:val="00455E95"/>
    <w:rsid w:val="00455F6A"/>
    <w:rsid w:val="004607E9"/>
    <w:rsid w:val="00460B89"/>
    <w:rsid w:val="00463484"/>
    <w:rsid w:val="004654D3"/>
    <w:rsid w:val="00465ED3"/>
    <w:rsid w:val="004677E9"/>
    <w:rsid w:val="004700F7"/>
    <w:rsid w:val="00472574"/>
    <w:rsid w:val="00474263"/>
    <w:rsid w:val="004747D8"/>
    <w:rsid w:val="00477FAB"/>
    <w:rsid w:val="004807B3"/>
    <w:rsid w:val="00481770"/>
    <w:rsid w:val="00481E7E"/>
    <w:rsid w:val="00481FEA"/>
    <w:rsid w:val="004849A2"/>
    <w:rsid w:val="004878B9"/>
    <w:rsid w:val="00490908"/>
    <w:rsid w:val="00490E18"/>
    <w:rsid w:val="00492E9A"/>
    <w:rsid w:val="0049394B"/>
    <w:rsid w:val="00494B1B"/>
    <w:rsid w:val="00495201"/>
    <w:rsid w:val="004A1EC0"/>
    <w:rsid w:val="004B0756"/>
    <w:rsid w:val="004B0990"/>
    <w:rsid w:val="004B157D"/>
    <w:rsid w:val="004B2526"/>
    <w:rsid w:val="004B65C5"/>
    <w:rsid w:val="004B7F42"/>
    <w:rsid w:val="004C0154"/>
    <w:rsid w:val="004C0EA8"/>
    <w:rsid w:val="004C608B"/>
    <w:rsid w:val="004C61BB"/>
    <w:rsid w:val="004C6FA8"/>
    <w:rsid w:val="004D1089"/>
    <w:rsid w:val="004D13CF"/>
    <w:rsid w:val="004D1CD9"/>
    <w:rsid w:val="004D1D20"/>
    <w:rsid w:val="004D23DD"/>
    <w:rsid w:val="004D406F"/>
    <w:rsid w:val="004D4A22"/>
    <w:rsid w:val="004D4E98"/>
    <w:rsid w:val="004D56A7"/>
    <w:rsid w:val="004E0C5A"/>
    <w:rsid w:val="004E20F1"/>
    <w:rsid w:val="004E3183"/>
    <w:rsid w:val="004E3BA0"/>
    <w:rsid w:val="004E3D4D"/>
    <w:rsid w:val="004E4285"/>
    <w:rsid w:val="004E63C6"/>
    <w:rsid w:val="004E6BD8"/>
    <w:rsid w:val="004E725C"/>
    <w:rsid w:val="004F1757"/>
    <w:rsid w:val="004F17AD"/>
    <w:rsid w:val="004F1B69"/>
    <w:rsid w:val="004F1E8B"/>
    <w:rsid w:val="004F1ED0"/>
    <w:rsid w:val="004F3157"/>
    <w:rsid w:val="004F3161"/>
    <w:rsid w:val="004F4A58"/>
    <w:rsid w:val="004F5EBC"/>
    <w:rsid w:val="004F717A"/>
    <w:rsid w:val="0050479D"/>
    <w:rsid w:val="00504966"/>
    <w:rsid w:val="00505F37"/>
    <w:rsid w:val="00507E75"/>
    <w:rsid w:val="0051521D"/>
    <w:rsid w:val="005163E2"/>
    <w:rsid w:val="00517A2A"/>
    <w:rsid w:val="00520C67"/>
    <w:rsid w:val="0052147A"/>
    <w:rsid w:val="0052158F"/>
    <w:rsid w:val="00521ED4"/>
    <w:rsid w:val="00522A09"/>
    <w:rsid w:val="00524BCF"/>
    <w:rsid w:val="00526DB5"/>
    <w:rsid w:val="00527B62"/>
    <w:rsid w:val="00527B89"/>
    <w:rsid w:val="005304A7"/>
    <w:rsid w:val="00531507"/>
    <w:rsid w:val="00532F2C"/>
    <w:rsid w:val="00534EE3"/>
    <w:rsid w:val="005353BE"/>
    <w:rsid w:val="005373D3"/>
    <w:rsid w:val="005378D5"/>
    <w:rsid w:val="00542103"/>
    <w:rsid w:val="00544652"/>
    <w:rsid w:val="00545D63"/>
    <w:rsid w:val="00546AC1"/>
    <w:rsid w:val="00547890"/>
    <w:rsid w:val="00552BDD"/>
    <w:rsid w:val="005542B7"/>
    <w:rsid w:val="0055555B"/>
    <w:rsid w:val="00555B42"/>
    <w:rsid w:val="005565F9"/>
    <w:rsid w:val="00561490"/>
    <w:rsid w:val="00564C04"/>
    <w:rsid w:val="00564C81"/>
    <w:rsid w:val="00565720"/>
    <w:rsid w:val="00566D04"/>
    <w:rsid w:val="0057048D"/>
    <w:rsid w:val="005716FE"/>
    <w:rsid w:val="0057195E"/>
    <w:rsid w:val="00576109"/>
    <w:rsid w:val="00582C09"/>
    <w:rsid w:val="005847FA"/>
    <w:rsid w:val="00591C21"/>
    <w:rsid w:val="00595F70"/>
    <w:rsid w:val="005A2D52"/>
    <w:rsid w:val="005A357A"/>
    <w:rsid w:val="005A4D00"/>
    <w:rsid w:val="005A7BA8"/>
    <w:rsid w:val="005B0424"/>
    <w:rsid w:val="005B0812"/>
    <w:rsid w:val="005B1F0F"/>
    <w:rsid w:val="005B1FF6"/>
    <w:rsid w:val="005B2910"/>
    <w:rsid w:val="005B2FDA"/>
    <w:rsid w:val="005B5BFE"/>
    <w:rsid w:val="005B5DA7"/>
    <w:rsid w:val="005B5EAF"/>
    <w:rsid w:val="005C00DC"/>
    <w:rsid w:val="005C0A6D"/>
    <w:rsid w:val="005C2EA0"/>
    <w:rsid w:val="005C4289"/>
    <w:rsid w:val="005C4E14"/>
    <w:rsid w:val="005C52FA"/>
    <w:rsid w:val="005C5CAF"/>
    <w:rsid w:val="005C79D8"/>
    <w:rsid w:val="005D0C95"/>
    <w:rsid w:val="005D1CB5"/>
    <w:rsid w:val="005D29B3"/>
    <w:rsid w:val="005D30D8"/>
    <w:rsid w:val="005D35DD"/>
    <w:rsid w:val="005D48BF"/>
    <w:rsid w:val="005D6584"/>
    <w:rsid w:val="005D6D7F"/>
    <w:rsid w:val="005E2E5D"/>
    <w:rsid w:val="005E37FC"/>
    <w:rsid w:val="005E3D68"/>
    <w:rsid w:val="005E3E3F"/>
    <w:rsid w:val="005E651D"/>
    <w:rsid w:val="005F03FF"/>
    <w:rsid w:val="00600451"/>
    <w:rsid w:val="00603460"/>
    <w:rsid w:val="00603D28"/>
    <w:rsid w:val="00605CBE"/>
    <w:rsid w:val="00610D9E"/>
    <w:rsid w:val="00612EEB"/>
    <w:rsid w:val="0061373A"/>
    <w:rsid w:val="0061483D"/>
    <w:rsid w:val="00622B7E"/>
    <w:rsid w:val="00625F88"/>
    <w:rsid w:val="006263E8"/>
    <w:rsid w:val="00626F82"/>
    <w:rsid w:val="00630469"/>
    <w:rsid w:val="00631C19"/>
    <w:rsid w:val="006348B0"/>
    <w:rsid w:val="0063514D"/>
    <w:rsid w:val="00642E2C"/>
    <w:rsid w:val="00644C96"/>
    <w:rsid w:val="006463DB"/>
    <w:rsid w:val="00650879"/>
    <w:rsid w:val="0065391E"/>
    <w:rsid w:val="0065416A"/>
    <w:rsid w:val="00655D84"/>
    <w:rsid w:val="006623E5"/>
    <w:rsid w:val="006636A9"/>
    <w:rsid w:val="0066702E"/>
    <w:rsid w:val="00670158"/>
    <w:rsid w:val="00671FF6"/>
    <w:rsid w:val="006724F1"/>
    <w:rsid w:val="006730EE"/>
    <w:rsid w:val="0067476B"/>
    <w:rsid w:val="006807B6"/>
    <w:rsid w:val="00680A80"/>
    <w:rsid w:val="00684399"/>
    <w:rsid w:val="00684AAA"/>
    <w:rsid w:val="00686985"/>
    <w:rsid w:val="00686E21"/>
    <w:rsid w:val="00690A53"/>
    <w:rsid w:val="00691548"/>
    <w:rsid w:val="006926F3"/>
    <w:rsid w:val="00695815"/>
    <w:rsid w:val="006A2EA6"/>
    <w:rsid w:val="006A7708"/>
    <w:rsid w:val="006A7711"/>
    <w:rsid w:val="006A7906"/>
    <w:rsid w:val="006A7A91"/>
    <w:rsid w:val="006A7AF3"/>
    <w:rsid w:val="006B20DD"/>
    <w:rsid w:val="006B2BBC"/>
    <w:rsid w:val="006B3D04"/>
    <w:rsid w:val="006B450F"/>
    <w:rsid w:val="006B51DD"/>
    <w:rsid w:val="006B5484"/>
    <w:rsid w:val="006B5704"/>
    <w:rsid w:val="006B77D2"/>
    <w:rsid w:val="006C0CCA"/>
    <w:rsid w:val="006C1C33"/>
    <w:rsid w:val="006C3420"/>
    <w:rsid w:val="006C5B9B"/>
    <w:rsid w:val="006C6E18"/>
    <w:rsid w:val="006C6F80"/>
    <w:rsid w:val="006C7364"/>
    <w:rsid w:val="006D08F0"/>
    <w:rsid w:val="006D0A46"/>
    <w:rsid w:val="006D0BF7"/>
    <w:rsid w:val="006D1277"/>
    <w:rsid w:val="006D4020"/>
    <w:rsid w:val="006D463B"/>
    <w:rsid w:val="006D5571"/>
    <w:rsid w:val="006D5A12"/>
    <w:rsid w:val="006D5F5F"/>
    <w:rsid w:val="006E0036"/>
    <w:rsid w:val="006E0FA2"/>
    <w:rsid w:val="006E1793"/>
    <w:rsid w:val="006E19AC"/>
    <w:rsid w:val="006E1BB3"/>
    <w:rsid w:val="006E3E9E"/>
    <w:rsid w:val="006E40BF"/>
    <w:rsid w:val="006E6D70"/>
    <w:rsid w:val="006F0828"/>
    <w:rsid w:val="006F0A70"/>
    <w:rsid w:val="006F1636"/>
    <w:rsid w:val="006F1777"/>
    <w:rsid w:val="006F3905"/>
    <w:rsid w:val="006F3CE6"/>
    <w:rsid w:val="006F3F1E"/>
    <w:rsid w:val="006F4D4A"/>
    <w:rsid w:val="006F5346"/>
    <w:rsid w:val="006F6DB2"/>
    <w:rsid w:val="007028B4"/>
    <w:rsid w:val="00702A5D"/>
    <w:rsid w:val="007046EC"/>
    <w:rsid w:val="00706170"/>
    <w:rsid w:val="00706750"/>
    <w:rsid w:val="00707CA2"/>
    <w:rsid w:val="00710FBB"/>
    <w:rsid w:val="00714507"/>
    <w:rsid w:val="00714ADA"/>
    <w:rsid w:val="00714AF4"/>
    <w:rsid w:val="00714CE6"/>
    <w:rsid w:val="00714E48"/>
    <w:rsid w:val="007153D0"/>
    <w:rsid w:val="00716150"/>
    <w:rsid w:val="007167D4"/>
    <w:rsid w:val="007200A9"/>
    <w:rsid w:val="00723F7C"/>
    <w:rsid w:val="00727191"/>
    <w:rsid w:val="00727598"/>
    <w:rsid w:val="0073034E"/>
    <w:rsid w:val="00730C19"/>
    <w:rsid w:val="00731178"/>
    <w:rsid w:val="00732861"/>
    <w:rsid w:val="00733C4E"/>
    <w:rsid w:val="00733DA8"/>
    <w:rsid w:val="00734E2A"/>
    <w:rsid w:val="007359BD"/>
    <w:rsid w:val="00735D43"/>
    <w:rsid w:val="00736094"/>
    <w:rsid w:val="0073634F"/>
    <w:rsid w:val="00736582"/>
    <w:rsid w:val="00736BC4"/>
    <w:rsid w:val="00737387"/>
    <w:rsid w:val="00737759"/>
    <w:rsid w:val="0074274F"/>
    <w:rsid w:val="00747FD6"/>
    <w:rsid w:val="0075049F"/>
    <w:rsid w:val="00752116"/>
    <w:rsid w:val="007525F6"/>
    <w:rsid w:val="00757CA2"/>
    <w:rsid w:val="007615CD"/>
    <w:rsid w:val="007630B5"/>
    <w:rsid w:val="007635D7"/>
    <w:rsid w:val="00764AF5"/>
    <w:rsid w:val="007655A3"/>
    <w:rsid w:val="00770E2D"/>
    <w:rsid w:val="0077218C"/>
    <w:rsid w:val="00772D80"/>
    <w:rsid w:val="007777FB"/>
    <w:rsid w:val="00781473"/>
    <w:rsid w:val="00781C52"/>
    <w:rsid w:val="00782284"/>
    <w:rsid w:val="007825CC"/>
    <w:rsid w:val="00783097"/>
    <w:rsid w:val="0078373D"/>
    <w:rsid w:val="00790DEA"/>
    <w:rsid w:val="00794D80"/>
    <w:rsid w:val="00795C30"/>
    <w:rsid w:val="007A3ACE"/>
    <w:rsid w:val="007A4AE9"/>
    <w:rsid w:val="007B1F45"/>
    <w:rsid w:val="007B2428"/>
    <w:rsid w:val="007B3F0B"/>
    <w:rsid w:val="007C2B1F"/>
    <w:rsid w:val="007C3C68"/>
    <w:rsid w:val="007C4809"/>
    <w:rsid w:val="007C5520"/>
    <w:rsid w:val="007C5A13"/>
    <w:rsid w:val="007C5C68"/>
    <w:rsid w:val="007C76E6"/>
    <w:rsid w:val="007D02ED"/>
    <w:rsid w:val="007D0557"/>
    <w:rsid w:val="007D06F4"/>
    <w:rsid w:val="007D14B6"/>
    <w:rsid w:val="007D2782"/>
    <w:rsid w:val="007D2EE8"/>
    <w:rsid w:val="007D4E1B"/>
    <w:rsid w:val="007D596E"/>
    <w:rsid w:val="007D5C0F"/>
    <w:rsid w:val="007E0CCC"/>
    <w:rsid w:val="007E1ECF"/>
    <w:rsid w:val="007E2A80"/>
    <w:rsid w:val="007E32CC"/>
    <w:rsid w:val="007E334A"/>
    <w:rsid w:val="007E3560"/>
    <w:rsid w:val="007E544A"/>
    <w:rsid w:val="007E5D25"/>
    <w:rsid w:val="007F2091"/>
    <w:rsid w:val="007F3A16"/>
    <w:rsid w:val="007F3C98"/>
    <w:rsid w:val="00800EC4"/>
    <w:rsid w:val="0080182E"/>
    <w:rsid w:val="00802B42"/>
    <w:rsid w:val="00803D3E"/>
    <w:rsid w:val="008043F0"/>
    <w:rsid w:val="00804CEF"/>
    <w:rsid w:val="0080725B"/>
    <w:rsid w:val="00812F8D"/>
    <w:rsid w:val="008133AE"/>
    <w:rsid w:val="00814F4A"/>
    <w:rsid w:val="00816067"/>
    <w:rsid w:val="00816D98"/>
    <w:rsid w:val="00817582"/>
    <w:rsid w:val="00817B8B"/>
    <w:rsid w:val="00817E91"/>
    <w:rsid w:val="008233C1"/>
    <w:rsid w:val="00823B13"/>
    <w:rsid w:val="00824C6D"/>
    <w:rsid w:val="00825C10"/>
    <w:rsid w:val="00826116"/>
    <w:rsid w:val="00826D20"/>
    <w:rsid w:val="0082759C"/>
    <w:rsid w:val="00827ACE"/>
    <w:rsid w:val="00827D81"/>
    <w:rsid w:val="0083088B"/>
    <w:rsid w:val="00831068"/>
    <w:rsid w:val="00831253"/>
    <w:rsid w:val="00832516"/>
    <w:rsid w:val="00832539"/>
    <w:rsid w:val="008345B8"/>
    <w:rsid w:val="00834819"/>
    <w:rsid w:val="00834D9A"/>
    <w:rsid w:val="00834F62"/>
    <w:rsid w:val="0083595D"/>
    <w:rsid w:val="0083F5BE"/>
    <w:rsid w:val="008403C6"/>
    <w:rsid w:val="00840AE2"/>
    <w:rsid w:val="00840B31"/>
    <w:rsid w:val="00840FB6"/>
    <w:rsid w:val="0084134B"/>
    <w:rsid w:val="00842A55"/>
    <w:rsid w:val="008454BD"/>
    <w:rsid w:val="00847149"/>
    <w:rsid w:val="00850719"/>
    <w:rsid w:val="00851D6D"/>
    <w:rsid w:val="0085219C"/>
    <w:rsid w:val="00852350"/>
    <w:rsid w:val="008535E2"/>
    <w:rsid w:val="00853E52"/>
    <w:rsid w:val="00853E8F"/>
    <w:rsid w:val="0085544F"/>
    <w:rsid w:val="00856EB5"/>
    <w:rsid w:val="00857F58"/>
    <w:rsid w:val="00861316"/>
    <w:rsid w:val="0086186F"/>
    <w:rsid w:val="00861B0E"/>
    <w:rsid w:val="0086240D"/>
    <w:rsid w:val="00863391"/>
    <w:rsid w:val="0086352B"/>
    <w:rsid w:val="00864894"/>
    <w:rsid w:val="00864D9B"/>
    <w:rsid w:val="008653AB"/>
    <w:rsid w:val="008660E5"/>
    <w:rsid w:val="008708FE"/>
    <w:rsid w:val="00872957"/>
    <w:rsid w:val="00873FFC"/>
    <w:rsid w:val="008741C0"/>
    <w:rsid w:val="008755C5"/>
    <w:rsid w:val="0087566C"/>
    <w:rsid w:val="00876557"/>
    <w:rsid w:val="00881443"/>
    <w:rsid w:val="00882248"/>
    <w:rsid w:val="008833EC"/>
    <w:rsid w:val="00884FE6"/>
    <w:rsid w:val="008873FC"/>
    <w:rsid w:val="00887C5A"/>
    <w:rsid w:val="00887CB9"/>
    <w:rsid w:val="0089003B"/>
    <w:rsid w:val="00893458"/>
    <w:rsid w:val="008934AD"/>
    <w:rsid w:val="0089353B"/>
    <w:rsid w:val="00894305"/>
    <w:rsid w:val="00895306"/>
    <w:rsid w:val="008958D4"/>
    <w:rsid w:val="0089676F"/>
    <w:rsid w:val="008971CF"/>
    <w:rsid w:val="008A0657"/>
    <w:rsid w:val="008A0733"/>
    <w:rsid w:val="008A0DAE"/>
    <w:rsid w:val="008A37CC"/>
    <w:rsid w:val="008A51E6"/>
    <w:rsid w:val="008A6956"/>
    <w:rsid w:val="008B10E2"/>
    <w:rsid w:val="008B1236"/>
    <w:rsid w:val="008B1BDD"/>
    <w:rsid w:val="008B1BE9"/>
    <w:rsid w:val="008B2846"/>
    <w:rsid w:val="008B2884"/>
    <w:rsid w:val="008B2A6B"/>
    <w:rsid w:val="008B46D9"/>
    <w:rsid w:val="008B49C5"/>
    <w:rsid w:val="008B4E9C"/>
    <w:rsid w:val="008C059C"/>
    <w:rsid w:val="008C15BC"/>
    <w:rsid w:val="008C2FC0"/>
    <w:rsid w:val="008C4574"/>
    <w:rsid w:val="008C4EA7"/>
    <w:rsid w:val="008C78F1"/>
    <w:rsid w:val="008C7F06"/>
    <w:rsid w:val="008D1482"/>
    <w:rsid w:val="008D3310"/>
    <w:rsid w:val="008D4C9F"/>
    <w:rsid w:val="008D5D9C"/>
    <w:rsid w:val="008E081A"/>
    <w:rsid w:val="008E3008"/>
    <w:rsid w:val="008E481F"/>
    <w:rsid w:val="008E4A56"/>
    <w:rsid w:val="008F02EE"/>
    <w:rsid w:val="008F2523"/>
    <w:rsid w:val="008F2FBC"/>
    <w:rsid w:val="008F3C32"/>
    <w:rsid w:val="008F5913"/>
    <w:rsid w:val="008F78C6"/>
    <w:rsid w:val="00900EC7"/>
    <w:rsid w:val="00902480"/>
    <w:rsid w:val="00902B33"/>
    <w:rsid w:val="00904A97"/>
    <w:rsid w:val="009052DA"/>
    <w:rsid w:val="009078B9"/>
    <w:rsid w:val="00910598"/>
    <w:rsid w:val="00910B8E"/>
    <w:rsid w:val="00913BD7"/>
    <w:rsid w:val="00913E6F"/>
    <w:rsid w:val="0091473D"/>
    <w:rsid w:val="00915658"/>
    <w:rsid w:val="00916A09"/>
    <w:rsid w:val="00917557"/>
    <w:rsid w:val="00917BE5"/>
    <w:rsid w:val="009206BC"/>
    <w:rsid w:val="00921E51"/>
    <w:rsid w:val="009301A0"/>
    <w:rsid w:val="009309CE"/>
    <w:rsid w:val="00930D3D"/>
    <w:rsid w:val="0093194C"/>
    <w:rsid w:val="00931B68"/>
    <w:rsid w:val="0093333C"/>
    <w:rsid w:val="00933774"/>
    <w:rsid w:val="00933976"/>
    <w:rsid w:val="00933A3F"/>
    <w:rsid w:val="00935AA0"/>
    <w:rsid w:val="0094020E"/>
    <w:rsid w:val="00941161"/>
    <w:rsid w:val="0094139F"/>
    <w:rsid w:val="009416B8"/>
    <w:rsid w:val="00941B25"/>
    <w:rsid w:val="00943235"/>
    <w:rsid w:val="009441BC"/>
    <w:rsid w:val="00945F1E"/>
    <w:rsid w:val="00950286"/>
    <w:rsid w:val="009547A9"/>
    <w:rsid w:val="009608B1"/>
    <w:rsid w:val="00963600"/>
    <w:rsid w:val="00963B81"/>
    <w:rsid w:val="00964DB7"/>
    <w:rsid w:val="00965369"/>
    <w:rsid w:val="00965610"/>
    <w:rsid w:val="00965DB4"/>
    <w:rsid w:val="009666B4"/>
    <w:rsid w:val="00971190"/>
    <w:rsid w:val="009713FC"/>
    <w:rsid w:val="00971972"/>
    <w:rsid w:val="00975552"/>
    <w:rsid w:val="00975B74"/>
    <w:rsid w:val="00976CC7"/>
    <w:rsid w:val="00977673"/>
    <w:rsid w:val="00980934"/>
    <w:rsid w:val="00980D86"/>
    <w:rsid w:val="00981FF2"/>
    <w:rsid w:val="00986688"/>
    <w:rsid w:val="00986F96"/>
    <w:rsid w:val="009925C1"/>
    <w:rsid w:val="009928B3"/>
    <w:rsid w:val="009941EB"/>
    <w:rsid w:val="00997FAB"/>
    <w:rsid w:val="009A2194"/>
    <w:rsid w:val="009A2E46"/>
    <w:rsid w:val="009A47C2"/>
    <w:rsid w:val="009A776D"/>
    <w:rsid w:val="009A7B38"/>
    <w:rsid w:val="009B0EDC"/>
    <w:rsid w:val="009B1763"/>
    <w:rsid w:val="009B4507"/>
    <w:rsid w:val="009B5833"/>
    <w:rsid w:val="009B65A0"/>
    <w:rsid w:val="009C01F3"/>
    <w:rsid w:val="009C02D5"/>
    <w:rsid w:val="009C0C12"/>
    <w:rsid w:val="009C0C3B"/>
    <w:rsid w:val="009C44DF"/>
    <w:rsid w:val="009C639F"/>
    <w:rsid w:val="009C7150"/>
    <w:rsid w:val="009D0795"/>
    <w:rsid w:val="009D0940"/>
    <w:rsid w:val="009D1299"/>
    <w:rsid w:val="009D194D"/>
    <w:rsid w:val="009D5645"/>
    <w:rsid w:val="009D6FCD"/>
    <w:rsid w:val="009D7B5A"/>
    <w:rsid w:val="009E0F35"/>
    <w:rsid w:val="009E1467"/>
    <w:rsid w:val="009E2775"/>
    <w:rsid w:val="009E4980"/>
    <w:rsid w:val="009E612D"/>
    <w:rsid w:val="009F0848"/>
    <w:rsid w:val="009F3297"/>
    <w:rsid w:val="009F4C1C"/>
    <w:rsid w:val="009F4E51"/>
    <w:rsid w:val="009F4EAC"/>
    <w:rsid w:val="009F6887"/>
    <w:rsid w:val="009F7C3F"/>
    <w:rsid w:val="00A03596"/>
    <w:rsid w:val="00A0630E"/>
    <w:rsid w:val="00A10704"/>
    <w:rsid w:val="00A12A6E"/>
    <w:rsid w:val="00A14A7D"/>
    <w:rsid w:val="00A15C68"/>
    <w:rsid w:val="00A20BA3"/>
    <w:rsid w:val="00A20CC3"/>
    <w:rsid w:val="00A22F1F"/>
    <w:rsid w:val="00A241AB"/>
    <w:rsid w:val="00A25AA1"/>
    <w:rsid w:val="00A25E03"/>
    <w:rsid w:val="00A31099"/>
    <w:rsid w:val="00A31813"/>
    <w:rsid w:val="00A31E48"/>
    <w:rsid w:val="00A32075"/>
    <w:rsid w:val="00A323E2"/>
    <w:rsid w:val="00A32434"/>
    <w:rsid w:val="00A325F2"/>
    <w:rsid w:val="00A354D9"/>
    <w:rsid w:val="00A36087"/>
    <w:rsid w:val="00A36B21"/>
    <w:rsid w:val="00A41432"/>
    <w:rsid w:val="00A42277"/>
    <w:rsid w:val="00A43151"/>
    <w:rsid w:val="00A456C5"/>
    <w:rsid w:val="00A473DA"/>
    <w:rsid w:val="00A530B7"/>
    <w:rsid w:val="00A54199"/>
    <w:rsid w:val="00A549D7"/>
    <w:rsid w:val="00A549D9"/>
    <w:rsid w:val="00A56592"/>
    <w:rsid w:val="00A57F14"/>
    <w:rsid w:val="00A6044C"/>
    <w:rsid w:val="00A60FB9"/>
    <w:rsid w:val="00A6144E"/>
    <w:rsid w:val="00A62A32"/>
    <w:rsid w:val="00A6333B"/>
    <w:rsid w:val="00A6779D"/>
    <w:rsid w:val="00A714A8"/>
    <w:rsid w:val="00A74586"/>
    <w:rsid w:val="00A74BD8"/>
    <w:rsid w:val="00A773F2"/>
    <w:rsid w:val="00A821A3"/>
    <w:rsid w:val="00A8227E"/>
    <w:rsid w:val="00A84371"/>
    <w:rsid w:val="00A8461C"/>
    <w:rsid w:val="00A904A6"/>
    <w:rsid w:val="00A920F4"/>
    <w:rsid w:val="00A9420B"/>
    <w:rsid w:val="00A96EBE"/>
    <w:rsid w:val="00A9740B"/>
    <w:rsid w:val="00A975E0"/>
    <w:rsid w:val="00AA0217"/>
    <w:rsid w:val="00AA0CF2"/>
    <w:rsid w:val="00AA1BBB"/>
    <w:rsid w:val="00AA3995"/>
    <w:rsid w:val="00AA3BCB"/>
    <w:rsid w:val="00AA3F4F"/>
    <w:rsid w:val="00AA524A"/>
    <w:rsid w:val="00AA741E"/>
    <w:rsid w:val="00AA7944"/>
    <w:rsid w:val="00AB0968"/>
    <w:rsid w:val="00AB2E49"/>
    <w:rsid w:val="00AB32DE"/>
    <w:rsid w:val="00AB3963"/>
    <w:rsid w:val="00AB3ECE"/>
    <w:rsid w:val="00AB7594"/>
    <w:rsid w:val="00AB7767"/>
    <w:rsid w:val="00AC1283"/>
    <w:rsid w:val="00AC35CD"/>
    <w:rsid w:val="00AC3D63"/>
    <w:rsid w:val="00AC4C6F"/>
    <w:rsid w:val="00AC5067"/>
    <w:rsid w:val="00AC6F7A"/>
    <w:rsid w:val="00AD1086"/>
    <w:rsid w:val="00AD2D8E"/>
    <w:rsid w:val="00AD3CC8"/>
    <w:rsid w:val="00AD3D64"/>
    <w:rsid w:val="00AD78AD"/>
    <w:rsid w:val="00AE1829"/>
    <w:rsid w:val="00AE5BCF"/>
    <w:rsid w:val="00AF1705"/>
    <w:rsid w:val="00AF22AB"/>
    <w:rsid w:val="00AF2F12"/>
    <w:rsid w:val="00AF306E"/>
    <w:rsid w:val="00AF5F1B"/>
    <w:rsid w:val="00AF7532"/>
    <w:rsid w:val="00B01F08"/>
    <w:rsid w:val="00B0354A"/>
    <w:rsid w:val="00B059C0"/>
    <w:rsid w:val="00B109F0"/>
    <w:rsid w:val="00B1259C"/>
    <w:rsid w:val="00B12FDC"/>
    <w:rsid w:val="00B14A55"/>
    <w:rsid w:val="00B17E06"/>
    <w:rsid w:val="00B20681"/>
    <w:rsid w:val="00B24DA1"/>
    <w:rsid w:val="00B25765"/>
    <w:rsid w:val="00B25BFB"/>
    <w:rsid w:val="00B34661"/>
    <w:rsid w:val="00B347D9"/>
    <w:rsid w:val="00B35325"/>
    <w:rsid w:val="00B373E0"/>
    <w:rsid w:val="00B43A2E"/>
    <w:rsid w:val="00B44021"/>
    <w:rsid w:val="00B46168"/>
    <w:rsid w:val="00B46C2B"/>
    <w:rsid w:val="00B50AF5"/>
    <w:rsid w:val="00B522E5"/>
    <w:rsid w:val="00B552BE"/>
    <w:rsid w:val="00B55853"/>
    <w:rsid w:val="00B55EE5"/>
    <w:rsid w:val="00B60672"/>
    <w:rsid w:val="00B62BD3"/>
    <w:rsid w:val="00B62FD5"/>
    <w:rsid w:val="00B6346E"/>
    <w:rsid w:val="00B638A0"/>
    <w:rsid w:val="00B6423A"/>
    <w:rsid w:val="00B672BF"/>
    <w:rsid w:val="00B72531"/>
    <w:rsid w:val="00B74019"/>
    <w:rsid w:val="00B741AD"/>
    <w:rsid w:val="00B74A3D"/>
    <w:rsid w:val="00B75CE6"/>
    <w:rsid w:val="00B766C5"/>
    <w:rsid w:val="00B7739B"/>
    <w:rsid w:val="00B80D76"/>
    <w:rsid w:val="00B817B6"/>
    <w:rsid w:val="00B81AB7"/>
    <w:rsid w:val="00B841AF"/>
    <w:rsid w:val="00B85075"/>
    <w:rsid w:val="00B87FDB"/>
    <w:rsid w:val="00B936FA"/>
    <w:rsid w:val="00B95F2C"/>
    <w:rsid w:val="00B974B2"/>
    <w:rsid w:val="00BA16C3"/>
    <w:rsid w:val="00BA2405"/>
    <w:rsid w:val="00BA5132"/>
    <w:rsid w:val="00BA6915"/>
    <w:rsid w:val="00BA72CE"/>
    <w:rsid w:val="00BB0799"/>
    <w:rsid w:val="00BB1386"/>
    <w:rsid w:val="00BB340B"/>
    <w:rsid w:val="00BB59DC"/>
    <w:rsid w:val="00BB781D"/>
    <w:rsid w:val="00BC1CCA"/>
    <w:rsid w:val="00BC1CD0"/>
    <w:rsid w:val="00BC24B9"/>
    <w:rsid w:val="00BD0888"/>
    <w:rsid w:val="00BD0914"/>
    <w:rsid w:val="00BD3C60"/>
    <w:rsid w:val="00BD7599"/>
    <w:rsid w:val="00BE0ACE"/>
    <w:rsid w:val="00BE273E"/>
    <w:rsid w:val="00BE46A4"/>
    <w:rsid w:val="00BE60DF"/>
    <w:rsid w:val="00BE678D"/>
    <w:rsid w:val="00BE79F9"/>
    <w:rsid w:val="00BE7E82"/>
    <w:rsid w:val="00BF18D0"/>
    <w:rsid w:val="00BF1B29"/>
    <w:rsid w:val="00BF3917"/>
    <w:rsid w:val="00BF3AAA"/>
    <w:rsid w:val="00BF77CC"/>
    <w:rsid w:val="00C007BF"/>
    <w:rsid w:val="00C01EA4"/>
    <w:rsid w:val="00C029B3"/>
    <w:rsid w:val="00C035A0"/>
    <w:rsid w:val="00C040CA"/>
    <w:rsid w:val="00C04640"/>
    <w:rsid w:val="00C06DC1"/>
    <w:rsid w:val="00C0709E"/>
    <w:rsid w:val="00C07626"/>
    <w:rsid w:val="00C106D8"/>
    <w:rsid w:val="00C12384"/>
    <w:rsid w:val="00C13808"/>
    <w:rsid w:val="00C17263"/>
    <w:rsid w:val="00C17C57"/>
    <w:rsid w:val="00C2006C"/>
    <w:rsid w:val="00C206E7"/>
    <w:rsid w:val="00C20D74"/>
    <w:rsid w:val="00C215FC"/>
    <w:rsid w:val="00C231C2"/>
    <w:rsid w:val="00C24B67"/>
    <w:rsid w:val="00C24E4B"/>
    <w:rsid w:val="00C2665E"/>
    <w:rsid w:val="00C26FDB"/>
    <w:rsid w:val="00C27464"/>
    <w:rsid w:val="00C30658"/>
    <w:rsid w:val="00C31BA5"/>
    <w:rsid w:val="00C32B02"/>
    <w:rsid w:val="00C34027"/>
    <w:rsid w:val="00C373FD"/>
    <w:rsid w:val="00C40226"/>
    <w:rsid w:val="00C40F3F"/>
    <w:rsid w:val="00C4573C"/>
    <w:rsid w:val="00C45A26"/>
    <w:rsid w:val="00C513D1"/>
    <w:rsid w:val="00C517B3"/>
    <w:rsid w:val="00C528CF"/>
    <w:rsid w:val="00C528ED"/>
    <w:rsid w:val="00C52B15"/>
    <w:rsid w:val="00C53159"/>
    <w:rsid w:val="00C56F09"/>
    <w:rsid w:val="00C57145"/>
    <w:rsid w:val="00C57EB4"/>
    <w:rsid w:val="00C57F62"/>
    <w:rsid w:val="00C606E8"/>
    <w:rsid w:val="00C611A2"/>
    <w:rsid w:val="00C6335F"/>
    <w:rsid w:val="00C63437"/>
    <w:rsid w:val="00C6507F"/>
    <w:rsid w:val="00C653D7"/>
    <w:rsid w:val="00C662F4"/>
    <w:rsid w:val="00C70D97"/>
    <w:rsid w:val="00C72716"/>
    <w:rsid w:val="00C73079"/>
    <w:rsid w:val="00C7574B"/>
    <w:rsid w:val="00C76512"/>
    <w:rsid w:val="00C765F1"/>
    <w:rsid w:val="00C7763F"/>
    <w:rsid w:val="00C817CB"/>
    <w:rsid w:val="00C82ED9"/>
    <w:rsid w:val="00C836C1"/>
    <w:rsid w:val="00C83AA3"/>
    <w:rsid w:val="00C86461"/>
    <w:rsid w:val="00C877B4"/>
    <w:rsid w:val="00C945CB"/>
    <w:rsid w:val="00C9594B"/>
    <w:rsid w:val="00C96A4C"/>
    <w:rsid w:val="00CA049A"/>
    <w:rsid w:val="00CA159F"/>
    <w:rsid w:val="00CA21DA"/>
    <w:rsid w:val="00CA2784"/>
    <w:rsid w:val="00CA464E"/>
    <w:rsid w:val="00CA499B"/>
    <w:rsid w:val="00CA4E5B"/>
    <w:rsid w:val="00CA5CE2"/>
    <w:rsid w:val="00CA6225"/>
    <w:rsid w:val="00CB2FFE"/>
    <w:rsid w:val="00CB65A6"/>
    <w:rsid w:val="00CB687E"/>
    <w:rsid w:val="00CB6CC4"/>
    <w:rsid w:val="00CB7EFA"/>
    <w:rsid w:val="00CC1489"/>
    <w:rsid w:val="00CC1A6E"/>
    <w:rsid w:val="00CC1EE0"/>
    <w:rsid w:val="00CC32BC"/>
    <w:rsid w:val="00CC3536"/>
    <w:rsid w:val="00CC5B78"/>
    <w:rsid w:val="00CC66FE"/>
    <w:rsid w:val="00CC7DBF"/>
    <w:rsid w:val="00CD0F94"/>
    <w:rsid w:val="00CD19FA"/>
    <w:rsid w:val="00CD2E7A"/>
    <w:rsid w:val="00CD3029"/>
    <w:rsid w:val="00CD3BAC"/>
    <w:rsid w:val="00CD5AAB"/>
    <w:rsid w:val="00CD6B28"/>
    <w:rsid w:val="00CE09D1"/>
    <w:rsid w:val="00CE2D2B"/>
    <w:rsid w:val="00CE3508"/>
    <w:rsid w:val="00CE4816"/>
    <w:rsid w:val="00CE4F56"/>
    <w:rsid w:val="00CE5FC4"/>
    <w:rsid w:val="00CE628C"/>
    <w:rsid w:val="00CE7CBB"/>
    <w:rsid w:val="00CF02CB"/>
    <w:rsid w:val="00CF1B28"/>
    <w:rsid w:val="00CF269F"/>
    <w:rsid w:val="00CF273D"/>
    <w:rsid w:val="00CF2C10"/>
    <w:rsid w:val="00CF4294"/>
    <w:rsid w:val="00CF610B"/>
    <w:rsid w:val="00CF7EBD"/>
    <w:rsid w:val="00D02713"/>
    <w:rsid w:val="00D03C51"/>
    <w:rsid w:val="00D03CB8"/>
    <w:rsid w:val="00D06149"/>
    <w:rsid w:val="00D0644E"/>
    <w:rsid w:val="00D11176"/>
    <w:rsid w:val="00D1168F"/>
    <w:rsid w:val="00D13297"/>
    <w:rsid w:val="00D15852"/>
    <w:rsid w:val="00D166D9"/>
    <w:rsid w:val="00D17D85"/>
    <w:rsid w:val="00D21906"/>
    <w:rsid w:val="00D2208F"/>
    <w:rsid w:val="00D23258"/>
    <w:rsid w:val="00D23CA8"/>
    <w:rsid w:val="00D2430F"/>
    <w:rsid w:val="00D252AC"/>
    <w:rsid w:val="00D253F6"/>
    <w:rsid w:val="00D31A2C"/>
    <w:rsid w:val="00D32778"/>
    <w:rsid w:val="00D32E3F"/>
    <w:rsid w:val="00D334B9"/>
    <w:rsid w:val="00D35098"/>
    <w:rsid w:val="00D356D3"/>
    <w:rsid w:val="00D35ADD"/>
    <w:rsid w:val="00D36E4D"/>
    <w:rsid w:val="00D44058"/>
    <w:rsid w:val="00D4439A"/>
    <w:rsid w:val="00D4462F"/>
    <w:rsid w:val="00D47015"/>
    <w:rsid w:val="00D47AA7"/>
    <w:rsid w:val="00D51A20"/>
    <w:rsid w:val="00D554A5"/>
    <w:rsid w:val="00D555B1"/>
    <w:rsid w:val="00D55968"/>
    <w:rsid w:val="00D57771"/>
    <w:rsid w:val="00D579E3"/>
    <w:rsid w:val="00D60374"/>
    <w:rsid w:val="00D62A82"/>
    <w:rsid w:val="00D63350"/>
    <w:rsid w:val="00D642BA"/>
    <w:rsid w:val="00D64D41"/>
    <w:rsid w:val="00D65AF3"/>
    <w:rsid w:val="00D6658F"/>
    <w:rsid w:val="00D6675A"/>
    <w:rsid w:val="00D67CFF"/>
    <w:rsid w:val="00D71C7C"/>
    <w:rsid w:val="00D73564"/>
    <w:rsid w:val="00D76659"/>
    <w:rsid w:val="00D76892"/>
    <w:rsid w:val="00D77B0B"/>
    <w:rsid w:val="00D80146"/>
    <w:rsid w:val="00D80386"/>
    <w:rsid w:val="00D849C3"/>
    <w:rsid w:val="00D85774"/>
    <w:rsid w:val="00D86866"/>
    <w:rsid w:val="00D90261"/>
    <w:rsid w:val="00D902E4"/>
    <w:rsid w:val="00D9270A"/>
    <w:rsid w:val="00D927AB"/>
    <w:rsid w:val="00D9371E"/>
    <w:rsid w:val="00D93E1B"/>
    <w:rsid w:val="00D94384"/>
    <w:rsid w:val="00D948F9"/>
    <w:rsid w:val="00DA25A4"/>
    <w:rsid w:val="00DA2E78"/>
    <w:rsid w:val="00DA4786"/>
    <w:rsid w:val="00DA7C4A"/>
    <w:rsid w:val="00DB06C7"/>
    <w:rsid w:val="00DB4E69"/>
    <w:rsid w:val="00DB6A67"/>
    <w:rsid w:val="00DB778B"/>
    <w:rsid w:val="00DC0926"/>
    <w:rsid w:val="00DC0E49"/>
    <w:rsid w:val="00DC1E89"/>
    <w:rsid w:val="00DC230E"/>
    <w:rsid w:val="00DC2C8F"/>
    <w:rsid w:val="00DC349A"/>
    <w:rsid w:val="00DC5F59"/>
    <w:rsid w:val="00DC70F1"/>
    <w:rsid w:val="00DC79EF"/>
    <w:rsid w:val="00DD1467"/>
    <w:rsid w:val="00DD5905"/>
    <w:rsid w:val="00DD5A08"/>
    <w:rsid w:val="00DD5A54"/>
    <w:rsid w:val="00DD6D02"/>
    <w:rsid w:val="00DE2500"/>
    <w:rsid w:val="00DE5A9A"/>
    <w:rsid w:val="00DF4D54"/>
    <w:rsid w:val="00DF7658"/>
    <w:rsid w:val="00E00160"/>
    <w:rsid w:val="00E00AE9"/>
    <w:rsid w:val="00E04F27"/>
    <w:rsid w:val="00E06FBB"/>
    <w:rsid w:val="00E07A44"/>
    <w:rsid w:val="00E1002F"/>
    <w:rsid w:val="00E102B6"/>
    <w:rsid w:val="00E106DF"/>
    <w:rsid w:val="00E10949"/>
    <w:rsid w:val="00E14485"/>
    <w:rsid w:val="00E145A2"/>
    <w:rsid w:val="00E1560B"/>
    <w:rsid w:val="00E15709"/>
    <w:rsid w:val="00E16510"/>
    <w:rsid w:val="00E1659C"/>
    <w:rsid w:val="00E21517"/>
    <w:rsid w:val="00E221EB"/>
    <w:rsid w:val="00E22D04"/>
    <w:rsid w:val="00E231DE"/>
    <w:rsid w:val="00E26676"/>
    <w:rsid w:val="00E2734B"/>
    <w:rsid w:val="00E27E43"/>
    <w:rsid w:val="00E32C46"/>
    <w:rsid w:val="00E332CF"/>
    <w:rsid w:val="00E33AF8"/>
    <w:rsid w:val="00E340DF"/>
    <w:rsid w:val="00E4054F"/>
    <w:rsid w:val="00E4077F"/>
    <w:rsid w:val="00E43C20"/>
    <w:rsid w:val="00E44BD4"/>
    <w:rsid w:val="00E4752E"/>
    <w:rsid w:val="00E5388E"/>
    <w:rsid w:val="00E62870"/>
    <w:rsid w:val="00E63BF1"/>
    <w:rsid w:val="00E63F15"/>
    <w:rsid w:val="00E64382"/>
    <w:rsid w:val="00E64552"/>
    <w:rsid w:val="00E65C16"/>
    <w:rsid w:val="00E66988"/>
    <w:rsid w:val="00E669EB"/>
    <w:rsid w:val="00E70503"/>
    <w:rsid w:val="00E70572"/>
    <w:rsid w:val="00E71699"/>
    <w:rsid w:val="00E71808"/>
    <w:rsid w:val="00E71D4B"/>
    <w:rsid w:val="00E721AB"/>
    <w:rsid w:val="00E73175"/>
    <w:rsid w:val="00E7372D"/>
    <w:rsid w:val="00E75335"/>
    <w:rsid w:val="00E76C21"/>
    <w:rsid w:val="00E77678"/>
    <w:rsid w:val="00E77DE9"/>
    <w:rsid w:val="00E77E93"/>
    <w:rsid w:val="00E820E3"/>
    <w:rsid w:val="00E85806"/>
    <w:rsid w:val="00E86AA3"/>
    <w:rsid w:val="00E86B25"/>
    <w:rsid w:val="00E90900"/>
    <w:rsid w:val="00E90B4B"/>
    <w:rsid w:val="00E90B73"/>
    <w:rsid w:val="00E921B7"/>
    <w:rsid w:val="00E93460"/>
    <w:rsid w:val="00E941AD"/>
    <w:rsid w:val="00E960A3"/>
    <w:rsid w:val="00EA2809"/>
    <w:rsid w:val="00EA43A5"/>
    <w:rsid w:val="00EA4435"/>
    <w:rsid w:val="00EA7F7E"/>
    <w:rsid w:val="00EB245F"/>
    <w:rsid w:val="00EB3F31"/>
    <w:rsid w:val="00EB4A05"/>
    <w:rsid w:val="00EB6342"/>
    <w:rsid w:val="00EB6A94"/>
    <w:rsid w:val="00EB74D1"/>
    <w:rsid w:val="00EC2886"/>
    <w:rsid w:val="00EC387C"/>
    <w:rsid w:val="00EC3E12"/>
    <w:rsid w:val="00EC5ACA"/>
    <w:rsid w:val="00EC63F7"/>
    <w:rsid w:val="00ED220B"/>
    <w:rsid w:val="00ED2306"/>
    <w:rsid w:val="00ED4847"/>
    <w:rsid w:val="00ED4B8A"/>
    <w:rsid w:val="00ED68A0"/>
    <w:rsid w:val="00EE04B7"/>
    <w:rsid w:val="00EE09EE"/>
    <w:rsid w:val="00EE1045"/>
    <w:rsid w:val="00EE1A7A"/>
    <w:rsid w:val="00EE1D3E"/>
    <w:rsid w:val="00EE2672"/>
    <w:rsid w:val="00EE2D8D"/>
    <w:rsid w:val="00EE3BD7"/>
    <w:rsid w:val="00EE61F2"/>
    <w:rsid w:val="00EE6729"/>
    <w:rsid w:val="00EF12B6"/>
    <w:rsid w:val="00EF1661"/>
    <w:rsid w:val="00EF4279"/>
    <w:rsid w:val="00F01DDA"/>
    <w:rsid w:val="00F031BD"/>
    <w:rsid w:val="00F03BFB"/>
    <w:rsid w:val="00F043EC"/>
    <w:rsid w:val="00F043FE"/>
    <w:rsid w:val="00F049D1"/>
    <w:rsid w:val="00F06106"/>
    <w:rsid w:val="00F063F4"/>
    <w:rsid w:val="00F0729A"/>
    <w:rsid w:val="00F10839"/>
    <w:rsid w:val="00F114D6"/>
    <w:rsid w:val="00F11ACB"/>
    <w:rsid w:val="00F1736F"/>
    <w:rsid w:val="00F206E6"/>
    <w:rsid w:val="00F20F3F"/>
    <w:rsid w:val="00F213F2"/>
    <w:rsid w:val="00F2261A"/>
    <w:rsid w:val="00F226C2"/>
    <w:rsid w:val="00F234D5"/>
    <w:rsid w:val="00F250C4"/>
    <w:rsid w:val="00F25EEF"/>
    <w:rsid w:val="00F303CB"/>
    <w:rsid w:val="00F30540"/>
    <w:rsid w:val="00F32C8D"/>
    <w:rsid w:val="00F340BF"/>
    <w:rsid w:val="00F37439"/>
    <w:rsid w:val="00F41278"/>
    <w:rsid w:val="00F41609"/>
    <w:rsid w:val="00F43BBC"/>
    <w:rsid w:val="00F465F5"/>
    <w:rsid w:val="00F5012D"/>
    <w:rsid w:val="00F5025F"/>
    <w:rsid w:val="00F50733"/>
    <w:rsid w:val="00F5117A"/>
    <w:rsid w:val="00F51D4D"/>
    <w:rsid w:val="00F53A9B"/>
    <w:rsid w:val="00F53BB6"/>
    <w:rsid w:val="00F54D74"/>
    <w:rsid w:val="00F54E76"/>
    <w:rsid w:val="00F55B3C"/>
    <w:rsid w:val="00F56276"/>
    <w:rsid w:val="00F6039E"/>
    <w:rsid w:val="00F605D1"/>
    <w:rsid w:val="00F60A35"/>
    <w:rsid w:val="00F643DF"/>
    <w:rsid w:val="00F66E19"/>
    <w:rsid w:val="00F67723"/>
    <w:rsid w:val="00F67D6D"/>
    <w:rsid w:val="00F72059"/>
    <w:rsid w:val="00F7353A"/>
    <w:rsid w:val="00F73802"/>
    <w:rsid w:val="00F76280"/>
    <w:rsid w:val="00F816FD"/>
    <w:rsid w:val="00F82211"/>
    <w:rsid w:val="00F83EDB"/>
    <w:rsid w:val="00F84091"/>
    <w:rsid w:val="00F85396"/>
    <w:rsid w:val="00F8553D"/>
    <w:rsid w:val="00F87763"/>
    <w:rsid w:val="00F920FC"/>
    <w:rsid w:val="00F92713"/>
    <w:rsid w:val="00F97455"/>
    <w:rsid w:val="00FA128C"/>
    <w:rsid w:val="00FA24D1"/>
    <w:rsid w:val="00FA5175"/>
    <w:rsid w:val="00FA6A3E"/>
    <w:rsid w:val="00FA7AF4"/>
    <w:rsid w:val="00FB0228"/>
    <w:rsid w:val="00FB20CC"/>
    <w:rsid w:val="00FB3A2F"/>
    <w:rsid w:val="00FB3A70"/>
    <w:rsid w:val="00FB427B"/>
    <w:rsid w:val="00FB457D"/>
    <w:rsid w:val="00FB4BC5"/>
    <w:rsid w:val="00FB5A39"/>
    <w:rsid w:val="00FB6614"/>
    <w:rsid w:val="00FB7D91"/>
    <w:rsid w:val="00FB7F5A"/>
    <w:rsid w:val="00FC00D2"/>
    <w:rsid w:val="00FC2BD3"/>
    <w:rsid w:val="00FC4696"/>
    <w:rsid w:val="00FD19F0"/>
    <w:rsid w:val="00FD5BC3"/>
    <w:rsid w:val="00FD5BF0"/>
    <w:rsid w:val="00FD6AFA"/>
    <w:rsid w:val="00FD7605"/>
    <w:rsid w:val="00FE10A2"/>
    <w:rsid w:val="00FE2520"/>
    <w:rsid w:val="00FE363B"/>
    <w:rsid w:val="00FE410F"/>
    <w:rsid w:val="00FE5028"/>
    <w:rsid w:val="00FE60CE"/>
    <w:rsid w:val="00FE62ED"/>
    <w:rsid w:val="00FF44FF"/>
    <w:rsid w:val="00FF4C05"/>
    <w:rsid w:val="00FF7405"/>
    <w:rsid w:val="00FF7F15"/>
    <w:rsid w:val="0198B964"/>
    <w:rsid w:val="019FA909"/>
    <w:rsid w:val="01A58C74"/>
    <w:rsid w:val="01E490B6"/>
    <w:rsid w:val="0200D962"/>
    <w:rsid w:val="03F1EDDB"/>
    <w:rsid w:val="03FAB61E"/>
    <w:rsid w:val="04337038"/>
    <w:rsid w:val="044477B2"/>
    <w:rsid w:val="04D4DB31"/>
    <w:rsid w:val="04EECC11"/>
    <w:rsid w:val="05402BAB"/>
    <w:rsid w:val="0581D90F"/>
    <w:rsid w:val="058518F3"/>
    <w:rsid w:val="059668D8"/>
    <w:rsid w:val="05B0C752"/>
    <w:rsid w:val="05B43EF1"/>
    <w:rsid w:val="06EB3BC1"/>
    <w:rsid w:val="070A6783"/>
    <w:rsid w:val="07622B25"/>
    <w:rsid w:val="0791FC18"/>
    <w:rsid w:val="07A5F360"/>
    <w:rsid w:val="07F73C49"/>
    <w:rsid w:val="08409FD5"/>
    <w:rsid w:val="0846679A"/>
    <w:rsid w:val="08899270"/>
    <w:rsid w:val="0896990E"/>
    <w:rsid w:val="092F0BEC"/>
    <w:rsid w:val="09AFD1D2"/>
    <w:rsid w:val="0A8C8ECD"/>
    <w:rsid w:val="0BD4617F"/>
    <w:rsid w:val="0C243C30"/>
    <w:rsid w:val="0C670260"/>
    <w:rsid w:val="0C787A00"/>
    <w:rsid w:val="0C96FB91"/>
    <w:rsid w:val="0D2252C5"/>
    <w:rsid w:val="0E442891"/>
    <w:rsid w:val="0F1D5579"/>
    <w:rsid w:val="0F1FA19F"/>
    <w:rsid w:val="0F2A4B18"/>
    <w:rsid w:val="0F3B63DF"/>
    <w:rsid w:val="0FA5AF77"/>
    <w:rsid w:val="108FF9A1"/>
    <w:rsid w:val="1213BDB3"/>
    <w:rsid w:val="123BACCB"/>
    <w:rsid w:val="125175CB"/>
    <w:rsid w:val="12AB5974"/>
    <w:rsid w:val="12BFDA79"/>
    <w:rsid w:val="13428FF6"/>
    <w:rsid w:val="134B58C1"/>
    <w:rsid w:val="13DE980E"/>
    <w:rsid w:val="14930289"/>
    <w:rsid w:val="14A0E0B8"/>
    <w:rsid w:val="14BCD56B"/>
    <w:rsid w:val="1568730F"/>
    <w:rsid w:val="15CB4824"/>
    <w:rsid w:val="15E62E44"/>
    <w:rsid w:val="168EE5CB"/>
    <w:rsid w:val="16B1F639"/>
    <w:rsid w:val="16CC9036"/>
    <w:rsid w:val="171D0EC7"/>
    <w:rsid w:val="173C6544"/>
    <w:rsid w:val="178DAF38"/>
    <w:rsid w:val="17D7047F"/>
    <w:rsid w:val="17DF505B"/>
    <w:rsid w:val="188BFC97"/>
    <w:rsid w:val="1917995E"/>
    <w:rsid w:val="1933B62D"/>
    <w:rsid w:val="1A7CBDD0"/>
    <w:rsid w:val="1A82E22B"/>
    <w:rsid w:val="1A850A37"/>
    <w:rsid w:val="1A95E898"/>
    <w:rsid w:val="1AB10C8E"/>
    <w:rsid w:val="1BB0B0BF"/>
    <w:rsid w:val="1CC1FA5F"/>
    <w:rsid w:val="1CE7DA54"/>
    <w:rsid w:val="1E90E84A"/>
    <w:rsid w:val="1F068A61"/>
    <w:rsid w:val="1F601417"/>
    <w:rsid w:val="1F6C7275"/>
    <w:rsid w:val="1F9F3159"/>
    <w:rsid w:val="1FCDC382"/>
    <w:rsid w:val="1FE6314B"/>
    <w:rsid w:val="203F82CF"/>
    <w:rsid w:val="2056B391"/>
    <w:rsid w:val="21679469"/>
    <w:rsid w:val="21C09438"/>
    <w:rsid w:val="21CE933B"/>
    <w:rsid w:val="21EA466F"/>
    <w:rsid w:val="21EDAAE4"/>
    <w:rsid w:val="22BF57A4"/>
    <w:rsid w:val="230DAB44"/>
    <w:rsid w:val="231367EF"/>
    <w:rsid w:val="231CAD95"/>
    <w:rsid w:val="23F376E1"/>
    <w:rsid w:val="24BD96C6"/>
    <w:rsid w:val="25525B30"/>
    <w:rsid w:val="25BFE394"/>
    <w:rsid w:val="2605F09A"/>
    <w:rsid w:val="27046133"/>
    <w:rsid w:val="27BC2E76"/>
    <w:rsid w:val="27F70AC9"/>
    <w:rsid w:val="285EF893"/>
    <w:rsid w:val="2955D909"/>
    <w:rsid w:val="2960ABA4"/>
    <w:rsid w:val="29B28CED"/>
    <w:rsid w:val="2A34F7C7"/>
    <w:rsid w:val="2A7BC000"/>
    <w:rsid w:val="2AC5774F"/>
    <w:rsid w:val="2C4D2F7D"/>
    <w:rsid w:val="2CDB4ECC"/>
    <w:rsid w:val="2DDC7770"/>
    <w:rsid w:val="2E07A0F4"/>
    <w:rsid w:val="2E933E25"/>
    <w:rsid w:val="2F21E76E"/>
    <w:rsid w:val="2F6A9C0F"/>
    <w:rsid w:val="2FB5CE76"/>
    <w:rsid w:val="31DF82F3"/>
    <w:rsid w:val="3214A011"/>
    <w:rsid w:val="32290E6D"/>
    <w:rsid w:val="3279DFE7"/>
    <w:rsid w:val="32DDEF48"/>
    <w:rsid w:val="33B5D36A"/>
    <w:rsid w:val="34668A5E"/>
    <w:rsid w:val="35B5ADCB"/>
    <w:rsid w:val="3602C7B5"/>
    <w:rsid w:val="36278E71"/>
    <w:rsid w:val="36D09BCD"/>
    <w:rsid w:val="371B24AD"/>
    <w:rsid w:val="373B3A4D"/>
    <w:rsid w:val="37601CEE"/>
    <w:rsid w:val="37BAD18F"/>
    <w:rsid w:val="37C5E953"/>
    <w:rsid w:val="3821B4E7"/>
    <w:rsid w:val="388B4904"/>
    <w:rsid w:val="39C1E26D"/>
    <w:rsid w:val="3A3F7D5B"/>
    <w:rsid w:val="3A842F35"/>
    <w:rsid w:val="3B3B304A"/>
    <w:rsid w:val="3C267C0A"/>
    <w:rsid w:val="3D69DE58"/>
    <w:rsid w:val="3D8986EF"/>
    <w:rsid w:val="3D8EA24A"/>
    <w:rsid w:val="3DAA8133"/>
    <w:rsid w:val="3DF17022"/>
    <w:rsid w:val="3DF71561"/>
    <w:rsid w:val="3E6F2AF0"/>
    <w:rsid w:val="3F0A5B38"/>
    <w:rsid w:val="3F7B86B4"/>
    <w:rsid w:val="40439DDB"/>
    <w:rsid w:val="41B31840"/>
    <w:rsid w:val="41FE5169"/>
    <w:rsid w:val="42047EE3"/>
    <w:rsid w:val="420B6495"/>
    <w:rsid w:val="42D29F78"/>
    <w:rsid w:val="44502D2B"/>
    <w:rsid w:val="4463FC74"/>
    <w:rsid w:val="447F9E56"/>
    <w:rsid w:val="45152C37"/>
    <w:rsid w:val="46074BE8"/>
    <w:rsid w:val="475772FB"/>
    <w:rsid w:val="478A3870"/>
    <w:rsid w:val="483515D3"/>
    <w:rsid w:val="4897519F"/>
    <w:rsid w:val="489B9C6C"/>
    <w:rsid w:val="4912F5E4"/>
    <w:rsid w:val="499025FD"/>
    <w:rsid w:val="49CBED93"/>
    <w:rsid w:val="4A7100C6"/>
    <w:rsid w:val="4B59A72C"/>
    <w:rsid w:val="4C588946"/>
    <w:rsid w:val="4C85F33F"/>
    <w:rsid w:val="4CECC9D7"/>
    <w:rsid w:val="4D4D73B3"/>
    <w:rsid w:val="4D8E212D"/>
    <w:rsid w:val="4DB00346"/>
    <w:rsid w:val="4E6C657E"/>
    <w:rsid w:val="4F52E6CD"/>
    <w:rsid w:val="500DDDED"/>
    <w:rsid w:val="5038A2FC"/>
    <w:rsid w:val="5070FBB5"/>
    <w:rsid w:val="50C66C80"/>
    <w:rsid w:val="514AB14C"/>
    <w:rsid w:val="522723F9"/>
    <w:rsid w:val="532240E9"/>
    <w:rsid w:val="5363EE2F"/>
    <w:rsid w:val="54818184"/>
    <w:rsid w:val="55702816"/>
    <w:rsid w:val="557EEFDF"/>
    <w:rsid w:val="563DA45B"/>
    <w:rsid w:val="564702AE"/>
    <w:rsid w:val="5681330A"/>
    <w:rsid w:val="56C39FD9"/>
    <w:rsid w:val="57034C7F"/>
    <w:rsid w:val="570739E2"/>
    <w:rsid w:val="5862AEAF"/>
    <w:rsid w:val="588C3E8F"/>
    <w:rsid w:val="589EC268"/>
    <w:rsid w:val="58A38255"/>
    <w:rsid w:val="5965271A"/>
    <w:rsid w:val="59E01F9E"/>
    <w:rsid w:val="5A6E6C22"/>
    <w:rsid w:val="5AEFB69F"/>
    <w:rsid w:val="5B68EE86"/>
    <w:rsid w:val="5C48DF03"/>
    <w:rsid w:val="5C5D0430"/>
    <w:rsid w:val="5D16BA88"/>
    <w:rsid w:val="5DAC26EC"/>
    <w:rsid w:val="5E90E700"/>
    <w:rsid w:val="5F6310D7"/>
    <w:rsid w:val="5F89EB1A"/>
    <w:rsid w:val="5FB3C5A8"/>
    <w:rsid w:val="5FC79C9A"/>
    <w:rsid w:val="60547AEA"/>
    <w:rsid w:val="60A9D6E0"/>
    <w:rsid w:val="60FFFAFD"/>
    <w:rsid w:val="61D3201E"/>
    <w:rsid w:val="620D01A5"/>
    <w:rsid w:val="62562B2F"/>
    <w:rsid w:val="62D8ED46"/>
    <w:rsid w:val="6312B0B7"/>
    <w:rsid w:val="6327ED81"/>
    <w:rsid w:val="6369C861"/>
    <w:rsid w:val="639493FB"/>
    <w:rsid w:val="639E50B0"/>
    <w:rsid w:val="63EDC3B5"/>
    <w:rsid w:val="64ACC9C0"/>
    <w:rsid w:val="64DC2451"/>
    <w:rsid w:val="6547F452"/>
    <w:rsid w:val="67326FC6"/>
    <w:rsid w:val="69974727"/>
    <w:rsid w:val="69D0F064"/>
    <w:rsid w:val="6ACB3F5D"/>
    <w:rsid w:val="6B1D937E"/>
    <w:rsid w:val="6C598903"/>
    <w:rsid w:val="6D36F887"/>
    <w:rsid w:val="6D791198"/>
    <w:rsid w:val="6EE1508F"/>
    <w:rsid w:val="6F2EDAAD"/>
    <w:rsid w:val="6F47112A"/>
    <w:rsid w:val="6FC03E3A"/>
    <w:rsid w:val="700F8642"/>
    <w:rsid w:val="70575096"/>
    <w:rsid w:val="706ACB8C"/>
    <w:rsid w:val="70CBCEC8"/>
    <w:rsid w:val="72F41077"/>
    <w:rsid w:val="72FE0498"/>
    <w:rsid w:val="73D5B6BC"/>
    <w:rsid w:val="742BB994"/>
    <w:rsid w:val="75988959"/>
    <w:rsid w:val="7612693A"/>
    <w:rsid w:val="773C099F"/>
    <w:rsid w:val="774F1E8A"/>
    <w:rsid w:val="77EA2E62"/>
    <w:rsid w:val="781ED752"/>
    <w:rsid w:val="79B49D90"/>
    <w:rsid w:val="79DB3E51"/>
    <w:rsid w:val="7AA35CA4"/>
    <w:rsid w:val="7BCA55D5"/>
    <w:rsid w:val="7D88B111"/>
    <w:rsid w:val="7E49366B"/>
    <w:rsid w:val="7EE87A4B"/>
    <w:rsid w:val="7EFC903C"/>
    <w:rsid w:val="7F2BA4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91289"/>
  <w15:chartTrackingRefBased/>
  <w15:docId w15:val="{A57A9713-E9A2-43A2-9390-EAB9E6231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3C1"/>
    <w:rPr>
      <w:rFonts w:ascii="Tahoma" w:hAnsi="Tahoma"/>
      <w:lang w:val="en-CA"/>
    </w:rPr>
  </w:style>
  <w:style w:type="paragraph" w:styleId="Heading1">
    <w:name w:val="heading 1"/>
    <w:basedOn w:val="Normal"/>
    <w:next w:val="Normal"/>
    <w:link w:val="Heading1Char"/>
    <w:uiPriority w:val="9"/>
    <w:qFormat/>
    <w:rsid w:val="0024775F"/>
    <w:pPr>
      <w:keepNext/>
      <w:keepLines/>
      <w:pBdr>
        <w:top w:val="single" w:sz="48" w:space="1" w:color="F2C777"/>
        <w:left w:val="single" w:sz="48" w:space="4" w:color="F2C777"/>
        <w:bottom w:val="single" w:sz="48" w:space="1" w:color="F2C777"/>
        <w:right w:val="single" w:sz="48" w:space="4" w:color="F2C777"/>
      </w:pBdr>
      <w:shd w:val="solid" w:color="F2C777" w:fill="auto"/>
      <w:spacing w:before="120" w:after="120"/>
      <w:outlineLvl w:val="0"/>
    </w:pPr>
    <w:rPr>
      <w:rFonts w:eastAsiaTheme="majorEastAsia" w:cstheme="majorBidi"/>
      <w:color w:val="000000" w:themeColor="text1"/>
      <w:sz w:val="50"/>
      <w:szCs w:val="40"/>
      <w14:textOutline w14:w="9525" w14:cap="rnd" w14:cmpd="sng" w14:algn="ctr">
        <w14:noFill/>
        <w14:prstDash w14:val="solid"/>
        <w14:bevel/>
      </w14:textOutline>
    </w:rPr>
  </w:style>
  <w:style w:type="paragraph" w:styleId="Heading2">
    <w:name w:val="heading 2"/>
    <w:basedOn w:val="Normal"/>
    <w:next w:val="Normal"/>
    <w:link w:val="Heading2Char"/>
    <w:uiPriority w:val="9"/>
    <w:unhideWhenUsed/>
    <w:qFormat/>
    <w:rsid w:val="0024775F"/>
    <w:pPr>
      <w:keepNext/>
      <w:keepLines/>
      <w:spacing w:before="160" w:after="80"/>
      <w:outlineLvl w:val="1"/>
    </w:pPr>
    <w:rPr>
      <w:rFonts w:eastAsiaTheme="majorEastAsia" w:cstheme="majorBidi"/>
      <w:color w:val="0F4761" w:themeColor="accent1" w:themeShade="BF"/>
      <w:sz w:val="40"/>
      <w:szCs w:val="32"/>
    </w:rPr>
  </w:style>
  <w:style w:type="paragraph" w:styleId="Heading3">
    <w:name w:val="heading 3"/>
    <w:basedOn w:val="Normal"/>
    <w:next w:val="Normal"/>
    <w:link w:val="Heading3Char"/>
    <w:uiPriority w:val="9"/>
    <w:unhideWhenUsed/>
    <w:qFormat/>
    <w:rsid w:val="0024775F"/>
    <w:pPr>
      <w:keepNext/>
      <w:keepLines/>
      <w:spacing w:before="160" w:after="80"/>
      <w:outlineLvl w:val="2"/>
    </w:pPr>
    <w:rPr>
      <w:rFonts w:eastAsiaTheme="majorEastAsia" w:cstheme="majorBidi"/>
      <w:color w:val="0F4761" w:themeColor="accent1" w:themeShade="BF"/>
      <w:sz w:val="36"/>
      <w:szCs w:val="28"/>
    </w:rPr>
  </w:style>
  <w:style w:type="paragraph" w:styleId="Heading4">
    <w:name w:val="heading 4"/>
    <w:basedOn w:val="Normal"/>
    <w:next w:val="Normal"/>
    <w:link w:val="Heading4Char"/>
    <w:uiPriority w:val="9"/>
    <w:unhideWhenUsed/>
    <w:qFormat/>
    <w:rsid w:val="0024775F"/>
    <w:pPr>
      <w:keepNext/>
      <w:keepLines/>
      <w:spacing w:before="80" w:after="40"/>
      <w:outlineLvl w:val="3"/>
    </w:pPr>
    <w:rPr>
      <w:rFonts w:eastAsiaTheme="majorEastAsia" w:cstheme="majorBidi"/>
      <w:b/>
      <w:iCs/>
      <w:color w:val="000000" w:themeColor="text1"/>
      <w:sz w:val="30"/>
    </w:rPr>
  </w:style>
  <w:style w:type="paragraph" w:styleId="Heading5">
    <w:name w:val="heading 5"/>
    <w:basedOn w:val="Normal"/>
    <w:next w:val="Normal"/>
    <w:link w:val="Heading5Char"/>
    <w:uiPriority w:val="9"/>
    <w:semiHidden/>
    <w:unhideWhenUsed/>
    <w:qFormat/>
    <w:rsid w:val="00FD6A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6A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6A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6A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6A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775F"/>
    <w:rPr>
      <w:rFonts w:ascii="Tahoma" w:eastAsiaTheme="majorEastAsia" w:hAnsi="Tahoma" w:cstheme="majorBidi"/>
      <w:color w:val="000000" w:themeColor="text1"/>
      <w:sz w:val="50"/>
      <w:szCs w:val="40"/>
      <w:shd w:val="solid" w:color="F2C777" w:fill="auto"/>
      <w14:textOutline w14:w="9525" w14:cap="rnd" w14:cmpd="sng" w14:algn="ctr">
        <w14:noFill/>
        <w14:prstDash w14:val="solid"/>
        <w14:bevel/>
      </w14:textOutline>
    </w:rPr>
  </w:style>
  <w:style w:type="character" w:customStyle="1" w:styleId="Heading2Char">
    <w:name w:val="Heading 2 Char"/>
    <w:basedOn w:val="DefaultParagraphFont"/>
    <w:link w:val="Heading2"/>
    <w:uiPriority w:val="9"/>
    <w:rsid w:val="0024775F"/>
    <w:rPr>
      <w:rFonts w:ascii="Tahoma" w:eastAsiaTheme="majorEastAsia" w:hAnsi="Tahoma" w:cstheme="majorBidi"/>
      <w:color w:val="0F4761" w:themeColor="accent1" w:themeShade="BF"/>
      <w:sz w:val="40"/>
      <w:szCs w:val="32"/>
    </w:rPr>
  </w:style>
  <w:style w:type="character" w:customStyle="1" w:styleId="Heading3Char">
    <w:name w:val="Heading 3 Char"/>
    <w:basedOn w:val="DefaultParagraphFont"/>
    <w:link w:val="Heading3"/>
    <w:uiPriority w:val="9"/>
    <w:rsid w:val="0024775F"/>
    <w:rPr>
      <w:rFonts w:ascii="Tahoma" w:eastAsiaTheme="majorEastAsia" w:hAnsi="Tahoma" w:cstheme="majorBidi"/>
      <w:color w:val="0F4761" w:themeColor="accent1" w:themeShade="BF"/>
      <w:sz w:val="36"/>
      <w:szCs w:val="28"/>
    </w:rPr>
  </w:style>
  <w:style w:type="character" w:customStyle="1" w:styleId="Heading4Char">
    <w:name w:val="Heading 4 Char"/>
    <w:basedOn w:val="DefaultParagraphFont"/>
    <w:link w:val="Heading4"/>
    <w:uiPriority w:val="9"/>
    <w:rsid w:val="0024775F"/>
    <w:rPr>
      <w:rFonts w:ascii="Tahoma" w:eastAsiaTheme="majorEastAsia" w:hAnsi="Tahoma" w:cstheme="majorBidi"/>
      <w:b/>
      <w:iCs/>
      <w:color w:val="000000" w:themeColor="text1"/>
      <w:sz w:val="30"/>
    </w:rPr>
  </w:style>
  <w:style w:type="character" w:customStyle="1" w:styleId="Heading5Char">
    <w:name w:val="Heading 5 Char"/>
    <w:basedOn w:val="DefaultParagraphFont"/>
    <w:link w:val="Heading5"/>
    <w:uiPriority w:val="9"/>
    <w:semiHidden/>
    <w:rsid w:val="00FD6A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6A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6A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6A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6AFA"/>
    <w:rPr>
      <w:rFonts w:eastAsiaTheme="majorEastAsia" w:cstheme="majorBidi"/>
      <w:color w:val="272727" w:themeColor="text1" w:themeTint="D8"/>
    </w:rPr>
  </w:style>
  <w:style w:type="paragraph" w:styleId="Title">
    <w:name w:val="Title"/>
    <w:basedOn w:val="Normal"/>
    <w:next w:val="Normal"/>
    <w:link w:val="TitleChar"/>
    <w:uiPriority w:val="10"/>
    <w:qFormat/>
    <w:rsid w:val="008233C1"/>
    <w:pPr>
      <w:spacing w:after="8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8233C1"/>
    <w:rPr>
      <w:rFonts w:ascii="Tahoma" w:eastAsiaTheme="majorEastAsia" w:hAnsi="Tahoma" w:cstheme="majorBidi"/>
      <w:spacing w:val="-10"/>
      <w:kern w:val="28"/>
      <w:sz w:val="56"/>
      <w:szCs w:val="56"/>
    </w:rPr>
  </w:style>
  <w:style w:type="paragraph" w:styleId="Subtitle">
    <w:name w:val="Subtitle"/>
    <w:basedOn w:val="Normal"/>
    <w:next w:val="Normal"/>
    <w:link w:val="SubtitleChar"/>
    <w:uiPriority w:val="11"/>
    <w:qFormat/>
    <w:rsid w:val="00FD6A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6A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6AFA"/>
    <w:pPr>
      <w:spacing w:before="160"/>
      <w:jc w:val="center"/>
    </w:pPr>
    <w:rPr>
      <w:i/>
      <w:iCs/>
      <w:color w:val="404040" w:themeColor="text1" w:themeTint="BF"/>
    </w:rPr>
  </w:style>
  <w:style w:type="character" w:customStyle="1" w:styleId="QuoteChar">
    <w:name w:val="Quote Char"/>
    <w:basedOn w:val="DefaultParagraphFont"/>
    <w:link w:val="Quote"/>
    <w:uiPriority w:val="29"/>
    <w:rsid w:val="00FD6AFA"/>
    <w:rPr>
      <w:i/>
      <w:iCs/>
      <w:color w:val="404040" w:themeColor="text1" w:themeTint="BF"/>
    </w:rPr>
  </w:style>
  <w:style w:type="paragraph" w:styleId="ListParagraph">
    <w:name w:val="List Paragraph"/>
    <w:aliases w:val="Unordered List Level 1,List Paragraph1,Recommendation,List Paragraph11,Bullet list,Lettre d'introduction,Dot pt,F5 List Paragraph,List Paragraph Char Char Char,Indicator Text,Numbered Para 1,Bullet 1,Bullet Points,List Paragraph2,Liste 1"/>
    <w:basedOn w:val="Normal"/>
    <w:link w:val="ListParagraphChar"/>
    <w:qFormat/>
    <w:rsid w:val="00FD6AFA"/>
    <w:pPr>
      <w:ind w:left="720"/>
      <w:contextualSpacing/>
    </w:pPr>
  </w:style>
  <w:style w:type="character" w:styleId="IntenseEmphasis">
    <w:name w:val="Intense Emphasis"/>
    <w:basedOn w:val="DefaultParagraphFont"/>
    <w:uiPriority w:val="21"/>
    <w:qFormat/>
    <w:rsid w:val="00FD6AFA"/>
    <w:rPr>
      <w:i/>
      <w:iCs/>
      <w:color w:val="0F4761" w:themeColor="accent1" w:themeShade="BF"/>
    </w:rPr>
  </w:style>
  <w:style w:type="paragraph" w:styleId="IntenseQuote">
    <w:name w:val="Intense Quote"/>
    <w:basedOn w:val="Normal"/>
    <w:next w:val="Normal"/>
    <w:link w:val="IntenseQuoteChar"/>
    <w:uiPriority w:val="30"/>
    <w:qFormat/>
    <w:rsid w:val="00FD6A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6AFA"/>
    <w:rPr>
      <w:i/>
      <w:iCs/>
      <w:color w:val="0F4761" w:themeColor="accent1" w:themeShade="BF"/>
    </w:rPr>
  </w:style>
  <w:style w:type="character" w:styleId="IntenseReference">
    <w:name w:val="Intense Reference"/>
    <w:basedOn w:val="DefaultParagraphFont"/>
    <w:uiPriority w:val="32"/>
    <w:qFormat/>
    <w:rsid w:val="00FD6AFA"/>
    <w:rPr>
      <w:b/>
      <w:bCs/>
      <w:smallCaps/>
      <w:color w:val="0F4761" w:themeColor="accent1" w:themeShade="BF"/>
      <w:spacing w:val="5"/>
    </w:rPr>
  </w:style>
  <w:style w:type="paragraph" w:styleId="NoSpacing">
    <w:name w:val="No Spacing"/>
    <w:link w:val="NoSpacingChar"/>
    <w:uiPriority w:val="1"/>
    <w:qFormat/>
    <w:rsid w:val="008233C1"/>
    <w:pPr>
      <w:spacing w:after="0" w:line="240" w:lineRule="auto"/>
    </w:pPr>
    <w:rPr>
      <w:rFonts w:ascii="Tahoma" w:eastAsiaTheme="minorEastAsia" w:hAnsi="Tahoma"/>
      <w:kern w:val="0"/>
      <w:szCs w:val="22"/>
      <w14:ligatures w14:val="none"/>
    </w:rPr>
  </w:style>
  <w:style w:type="character" w:customStyle="1" w:styleId="NoSpacingChar">
    <w:name w:val="No Spacing Char"/>
    <w:basedOn w:val="DefaultParagraphFont"/>
    <w:link w:val="NoSpacing"/>
    <w:uiPriority w:val="1"/>
    <w:rsid w:val="008233C1"/>
    <w:rPr>
      <w:rFonts w:ascii="Tahoma" w:eastAsiaTheme="minorEastAsia" w:hAnsi="Tahoma"/>
      <w:kern w:val="0"/>
      <w:szCs w:val="22"/>
      <w14:ligatures w14:val="none"/>
    </w:rPr>
  </w:style>
  <w:style w:type="paragraph" w:styleId="TOCHeading">
    <w:name w:val="TOC Heading"/>
    <w:basedOn w:val="Heading1"/>
    <w:next w:val="Normal"/>
    <w:uiPriority w:val="39"/>
    <w:unhideWhenUsed/>
    <w:qFormat/>
    <w:rsid w:val="00010375"/>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5D6D7F"/>
    <w:pPr>
      <w:tabs>
        <w:tab w:val="right" w:leader="dot" w:pos="9350"/>
      </w:tabs>
      <w:spacing w:after="100"/>
    </w:pPr>
  </w:style>
  <w:style w:type="character" w:styleId="Hyperlink">
    <w:name w:val="Hyperlink"/>
    <w:basedOn w:val="DefaultParagraphFont"/>
    <w:uiPriority w:val="99"/>
    <w:unhideWhenUsed/>
    <w:rsid w:val="00010375"/>
    <w:rPr>
      <w:color w:val="467886" w:themeColor="hyperlink"/>
      <w:u w:val="single"/>
    </w:rPr>
  </w:style>
  <w:style w:type="character" w:customStyle="1" w:styleId="ListParagraphChar">
    <w:name w:val="List Paragraph Char"/>
    <w:aliases w:val="Unordered List Level 1 Char,List Paragraph1 Char,Recommendation Char,List Paragraph11 Char,Bullet list Char,Lettre d'introduction Char,Dot pt Char,F5 List Paragraph Char,List Paragraph Char Char Char Char,Indicator Text Char"/>
    <w:basedOn w:val="DefaultParagraphFont"/>
    <w:link w:val="ListParagraph"/>
    <w:uiPriority w:val="34"/>
    <w:locked/>
    <w:rsid w:val="00044F18"/>
  </w:style>
  <w:style w:type="character" w:styleId="CommentReference">
    <w:name w:val="annotation reference"/>
    <w:basedOn w:val="DefaultParagraphFont"/>
    <w:uiPriority w:val="99"/>
    <w:semiHidden/>
    <w:unhideWhenUsed/>
    <w:rsid w:val="00631C19"/>
    <w:rPr>
      <w:sz w:val="16"/>
      <w:szCs w:val="16"/>
    </w:rPr>
  </w:style>
  <w:style w:type="paragraph" w:styleId="CommentText">
    <w:name w:val="annotation text"/>
    <w:basedOn w:val="Normal"/>
    <w:link w:val="CommentTextChar"/>
    <w:uiPriority w:val="99"/>
    <w:unhideWhenUsed/>
    <w:rsid w:val="00631C19"/>
    <w:pPr>
      <w:spacing w:line="240" w:lineRule="auto"/>
    </w:pPr>
    <w:rPr>
      <w:sz w:val="20"/>
      <w:szCs w:val="20"/>
    </w:rPr>
  </w:style>
  <w:style w:type="character" w:customStyle="1" w:styleId="CommentTextChar">
    <w:name w:val="Comment Text Char"/>
    <w:basedOn w:val="DefaultParagraphFont"/>
    <w:link w:val="CommentText"/>
    <w:uiPriority w:val="99"/>
    <w:rsid w:val="00631C19"/>
    <w:rPr>
      <w:sz w:val="20"/>
      <w:szCs w:val="20"/>
    </w:rPr>
  </w:style>
  <w:style w:type="table" w:styleId="TableGrid">
    <w:name w:val="Table Grid"/>
    <w:basedOn w:val="TableNormal"/>
    <w:uiPriority w:val="39"/>
    <w:rsid w:val="00823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02A9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202A9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236C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C8D"/>
    <w:rPr>
      <w:rFonts w:ascii="Tahoma" w:hAnsi="Tahoma"/>
    </w:rPr>
  </w:style>
  <w:style w:type="paragraph" w:styleId="Footer">
    <w:name w:val="footer"/>
    <w:basedOn w:val="Normal"/>
    <w:link w:val="FooterChar"/>
    <w:uiPriority w:val="99"/>
    <w:unhideWhenUsed/>
    <w:rsid w:val="00236C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C8D"/>
    <w:rPr>
      <w:rFonts w:ascii="Tahoma" w:hAnsi="Tahoma"/>
    </w:rPr>
  </w:style>
  <w:style w:type="paragraph" w:styleId="TOC2">
    <w:name w:val="toc 2"/>
    <w:basedOn w:val="Normal"/>
    <w:next w:val="Normal"/>
    <w:autoRedefine/>
    <w:uiPriority w:val="39"/>
    <w:unhideWhenUsed/>
    <w:rsid w:val="00D47AA7"/>
    <w:pPr>
      <w:spacing w:after="100"/>
      <w:ind w:left="240"/>
    </w:pPr>
  </w:style>
  <w:style w:type="paragraph" w:styleId="TOC3">
    <w:name w:val="toc 3"/>
    <w:basedOn w:val="Normal"/>
    <w:next w:val="Normal"/>
    <w:autoRedefine/>
    <w:uiPriority w:val="39"/>
    <w:unhideWhenUsed/>
    <w:rsid w:val="00AD3CC8"/>
    <w:pPr>
      <w:tabs>
        <w:tab w:val="right" w:leader="dot" w:pos="9350"/>
      </w:tabs>
      <w:spacing w:after="100"/>
      <w:ind w:left="480"/>
    </w:pPr>
    <w:rPr>
      <w:noProof/>
    </w:rPr>
  </w:style>
  <w:style w:type="character" w:styleId="UnresolvedMention">
    <w:name w:val="Unresolved Mention"/>
    <w:basedOn w:val="DefaultParagraphFont"/>
    <w:uiPriority w:val="99"/>
    <w:semiHidden/>
    <w:unhideWhenUsed/>
    <w:rsid w:val="005D6D7F"/>
    <w:rPr>
      <w:color w:val="605E5C"/>
      <w:shd w:val="clear" w:color="auto" w:fill="E1DFDD"/>
    </w:rPr>
  </w:style>
  <w:style w:type="paragraph" w:customStyle="1" w:styleId="pf0">
    <w:name w:val="pf0"/>
    <w:basedOn w:val="Normal"/>
    <w:rsid w:val="0019573B"/>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f01">
    <w:name w:val="cf01"/>
    <w:basedOn w:val="DefaultParagraphFont"/>
    <w:rsid w:val="0019573B"/>
    <w:rPr>
      <w:rFonts w:ascii="Segoe UI" w:hAnsi="Segoe UI" w:cs="Segoe UI" w:hint="default"/>
      <w:color w:val="242424"/>
      <w:sz w:val="21"/>
      <w:szCs w:val="21"/>
    </w:rPr>
  </w:style>
  <w:style w:type="paragraph" w:styleId="Revision">
    <w:name w:val="Revision"/>
    <w:hidden/>
    <w:uiPriority w:val="99"/>
    <w:semiHidden/>
    <w:rsid w:val="009E4980"/>
    <w:pPr>
      <w:spacing w:after="0" w:line="240" w:lineRule="auto"/>
    </w:pPr>
    <w:rPr>
      <w:rFonts w:ascii="Tahoma" w:hAnsi="Tahoma"/>
    </w:rPr>
  </w:style>
  <w:style w:type="paragraph" w:styleId="FootnoteText">
    <w:name w:val="footnote text"/>
    <w:basedOn w:val="Normal"/>
    <w:link w:val="FootnoteTextChar"/>
    <w:uiPriority w:val="99"/>
    <w:unhideWhenUsed/>
    <w:rsid w:val="00731178"/>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731178"/>
    <w:rPr>
      <w:sz w:val="20"/>
      <w:szCs w:val="20"/>
    </w:rPr>
  </w:style>
  <w:style w:type="character" w:styleId="FootnoteReference">
    <w:name w:val="footnote reference"/>
    <w:basedOn w:val="DefaultParagraphFont"/>
    <w:uiPriority w:val="99"/>
    <w:unhideWhenUsed/>
    <w:rsid w:val="00731178"/>
    <w:rPr>
      <w:vertAlign w:val="superscript"/>
    </w:rPr>
  </w:style>
  <w:style w:type="paragraph" w:styleId="CommentSubject">
    <w:name w:val="annotation subject"/>
    <w:basedOn w:val="CommentText"/>
    <w:next w:val="CommentText"/>
    <w:link w:val="CommentSubjectChar"/>
    <w:uiPriority w:val="99"/>
    <w:semiHidden/>
    <w:unhideWhenUsed/>
    <w:rsid w:val="00D2430F"/>
    <w:rPr>
      <w:b/>
      <w:bCs/>
    </w:rPr>
  </w:style>
  <w:style w:type="character" w:customStyle="1" w:styleId="CommentSubjectChar">
    <w:name w:val="Comment Subject Char"/>
    <w:basedOn w:val="CommentTextChar"/>
    <w:link w:val="CommentSubject"/>
    <w:uiPriority w:val="99"/>
    <w:semiHidden/>
    <w:rsid w:val="00D2430F"/>
    <w:rPr>
      <w:rFonts w:ascii="Tahoma" w:hAnsi="Tahoma"/>
      <w:b/>
      <w:bCs/>
      <w:sz w:val="20"/>
      <w:szCs w:val="20"/>
    </w:rPr>
  </w:style>
  <w:style w:type="paragraph" w:styleId="NormalWeb">
    <w:name w:val="Normal (Web)"/>
    <w:basedOn w:val="Normal"/>
    <w:uiPriority w:val="99"/>
    <w:semiHidden/>
    <w:unhideWhenUsed/>
    <w:rsid w:val="004257D9"/>
    <w:rPr>
      <w:rFonts w:ascii="Times New Roman" w:hAnsi="Times New Roman" w:cs="Times New Roman"/>
    </w:rPr>
  </w:style>
  <w:style w:type="character" w:styleId="Strong">
    <w:name w:val="Strong"/>
    <w:basedOn w:val="DefaultParagraphFont"/>
    <w:uiPriority w:val="22"/>
    <w:qFormat/>
    <w:rsid w:val="00887C5A"/>
    <w:rPr>
      <w:b/>
      <w:bCs/>
    </w:rPr>
  </w:style>
  <w:style w:type="paragraph" w:styleId="BodyText">
    <w:name w:val="Body Text"/>
    <w:basedOn w:val="Normal"/>
    <w:link w:val="BodyTextChar"/>
    <w:uiPriority w:val="1"/>
    <w:qFormat/>
    <w:rsid w:val="00C2006C"/>
    <w:pPr>
      <w:widowControl w:val="0"/>
      <w:autoSpaceDE w:val="0"/>
      <w:autoSpaceDN w:val="0"/>
      <w:spacing w:after="0" w:line="240" w:lineRule="auto"/>
    </w:pPr>
    <w:rPr>
      <w:rFonts w:ascii="Arial" w:eastAsia="Arial" w:hAnsi="Arial" w:cs="Arial"/>
      <w:kern w:val="0"/>
      <w14:ligatures w14:val="none"/>
    </w:rPr>
  </w:style>
  <w:style w:type="character" w:customStyle="1" w:styleId="BodyTextChar">
    <w:name w:val="Body Text Char"/>
    <w:basedOn w:val="DefaultParagraphFont"/>
    <w:link w:val="BodyText"/>
    <w:uiPriority w:val="1"/>
    <w:rsid w:val="00C2006C"/>
    <w:rPr>
      <w:rFonts w:ascii="Arial" w:eastAsia="Arial" w:hAnsi="Arial" w:cs="Arial"/>
      <w:kern w:val="0"/>
      <w14:ligatures w14:val="none"/>
    </w:rPr>
  </w:style>
  <w:style w:type="paragraph" w:styleId="Caption">
    <w:name w:val="caption"/>
    <w:basedOn w:val="Normal"/>
    <w:next w:val="Normal"/>
    <w:uiPriority w:val="35"/>
    <w:unhideWhenUsed/>
    <w:qFormat/>
    <w:rsid w:val="002B2C89"/>
    <w:pPr>
      <w:spacing w:after="120" w:line="240" w:lineRule="auto"/>
      <w:jc w:val="both"/>
    </w:pPr>
    <w:rPr>
      <w:rFonts w:ascii="Proxima Nova" w:eastAsiaTheme="minorEastAsia" w:hAnsi="Proxima Nova"/>
      <w:b/>
      <w:bCs/>
      <w:color w:val="404040" w:themeColor="text1" w:themeTint="BF"/>
      <w:kern w:val="0"/>
      <w:sz w:val="20"/>
      <w:szCs w:val="20"/>
      <w14:ligatures w14:val="none"/>
    </w:rPr>
  </w:style>
  <w:style w:type="table" w:customStyle="1" w:styleId="PlainTable51">
    <w:name w:val="Plain Table 51"/>
    <w:basedOn w:val="TableNormal"/>
    <w:next w:val="PlainTable5"/>
    <w:uiPriority w:val="45"/>
    <w:rsid w:val="002B2C89"/>
    <w:pPr>
      <w:spacing w:after="0" w:line="240" w:lineRule="auto"/>
    </w:pPr>
    <w:rPr>
      <w:rFonts w:ascii="Calibri" w:eastAsia="Calibri" w:hAnsi="Calibri" w:cs="Times New Roman"/>
      <w:sz w:val="22"/>
      <w:szCs w:val="22"/>
      <w:lang w:val="en-CA"/>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EE1045"/>
    <w:rPr>
      <w:color w:val="96607D" w:themeColor="followedHyperlink"/>
      <w:u w:val="single"/>
    </w:rPr>
  </w:style>
  <w:style w:type="character" w:styleId="LineNumber">
    <w:name w:val="line number"/>
    <w:basedOn w:val="DefaultParagraphFont"/>
    <w:uiPriority w:val="99"/>
    <w:semiHidden/>
    <w:unhideWhenUsed/>
    <w:rsid w:val="000E6B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42138">
      <w:bodyDiv w:val="1"/>
      <w:marLeft w:val="0"/>
      <w:marRight w:val="0"/>
      <w:marTop w:val="0"/>
      <w:marBottom w:val="0"/>
      <w:divBdr>
        <w:top w:val="none" w:sz="0" w:space="0" w:color="auto"/>
        <w:left w:val="none" w:sz="0" w:space="0" w:color="auto"/>
        <w:bottom w:val="none" w:sz="0" w:space="0" w:color="auto"/>
        <w:right w:val="none" w:sz="0" w:space="0" w:color="auto"/>
      </w:divBdr>
    </w:div>
    <w:div w:id="84963780">
      <w:bodyDiv w:val="1"/>
      <w:marLeft w:val="0"/>
      <w:marRight w:val="0"/>
      <w:marTop w:val="0"/>
      <w:marBottom w:val="0"/>
      <w:divBdr>
        <w:top w:val="none" w:sz="0" w:space="0" w:color="auto"/>
        <w:left w:val="none" w:sz="0" w:space="0" w:color="auto"/>
        <w:bottom w:val="none" w:sz="0" w:space="0" w:color="auto"/>
        <w:right w:val="none" w:sz="0" w:space="0" w:color="auto"/>
      </w:divBdr>
    </w:div>
    <w:div w:id="136336196">
      <w:bodyDiv w:val="1"/>
      <w:marLeft w:val="0"/>
      <w:marRight w:val="0"/>
      <w:marTop w:val="0"/>
      <w:marBottom w:val="0"/>
      <w:divBdr>
        <w:top w:val="none" w:sz="0" w:space="0" w:color="auto"/>
        <w:left w:val="none" w:sz="0" w:space="0" w:color="auto"/>
        <w:bottom w:val="none" w:sz="0" w:space="0" w:color="auto"/>
        <w:right w:val="none" w:sz="0" w:space="0" w:color="auto"/>
      </w:divBdr>
    </w:div>
    <w:div w:id="182935892">
      <w:bodyDiv w:val="1"/>
      <w:marLeft w:val="0"/>
      <w:marRight w:val="0"/>
      <w:marTop w:val="0"/>
      <w:marBottom w:val="0"/>
      <w:divBdr>
        <w:top w:val="none" w:sz="0" w:space="0" w:color="auto"/>
        <w:left w:val="none" w:sz="0" w:space="0" w:color="auto"/>
        <w:bottom w:val="none" w:sz="0" w:space="0" w:color="auto"/>
        <w:right w:val="none" w:sz="0" w:space="0" w:color="auto"/>
      </w:divBdr>
    </w:div>
    <w:div w:id="211425483">
      <w:bodyDiv w:val="1"/>
      <w:marLeft w:val="0"/>
      <w:marRight w:val="0"/>
      <w:marTop w:val="0"/>
      <w:marBottom w:val="0"/>
      <w:divBdr>
        <w:top w:val="none" w:sz="0" w:space="0" w:color="auto"/>
        <w:left w:val="none" w:sz="0" w:space="0" w:color="auto"/>
        <w:bottom w:val="none" w:sz="0" w:space="0" w:color="auto"/>
        <w:right w:val="none" w:sz="0" w:space="0" w:color="auto"/>
      </w:divBdr>
    </w:div>
    <w:div w:id="237175374">
      <w:bodyDiv w:val="1"/>
      <w:marLeft w:val="0"/>
      <w:marRight w:val="0"/>
      <w:marTop w:val="0"/>
      <w:marBottom w:val="0"/>
      <w:divBdr>
        <w:top w:val="none" w:sz="0" w:space="0" w:color="auto"/>
        <w:left w:val="none" w:sz="0" w:space="0" w:color="auto"/>
        <w:bottom w:val="none" w:sz="0" w:space="0" w:color="auto"/>
        <w:right w:val="none" w:sz="0" w:space="0" w:color="auto"/>
      </w:divBdr>
    </w:div>
    <w:div w:id="283342346">
      <w:bodyDiv w:val="1"/>
      <w:marLeft w:val="0"/>
      <w:marRight w:val="0"/>
      <w:marTop w:val="0"/>
      <w:marBottom w:val="0"/>
      <w:divBdr>
        <w:top w:val="none" w:sz="0" w:space="0" w:color="auto"/>
        <w:left w:val="none" w:sz="0" w:space="0" w:color="auto"/>
        <w:bottom w:val="none" w:sz="0" w:space="0" w:color="auto"/>
        <w:right w:val="none" w:sz="0" w:space="0" w:color="auto"/>
      </w:divBdr>
    </w:div>
    <w:div w:id="327827889">
      <w:bodyDiv w:val="1"/>
      <w:marLeft w:val="0"/>
      <w:marRight w:val="0"/>
      <w:marTop w:val="0"/>
      <w:marBottom w:val="0"/>
      <w:divBdr>
        <w:top w:val="none" w:sz="0" w:space="0" w:color="auto"/>
        <w:left w:val="none" w:sz="0" w:space="0" w:color="auto"/>
        <w:bottom w:val="none" w:sz="0" w:space="0" w:color="auto"/>
        <w:right w:val="none" w:sz="0" w:space="0" w:color="auto"/>
      </w:divBdr>
    </w:div>
    <w:div w:id="339282433">
      <w:bodyDiv w:val="1"/>
      <w:marLeft w:val="0"/>
      <w:marRight w:val="0"/>
      <w:marTop w:val="0"/>
      <w:marBottom w:val="0"/>
      <w:divBdr>
        <w:top w:val="none" w:sz="0" w:space="0" w:color="auto"/>
        <w:left w:val="none" w:sz="0" w:space="0" w:color="auto"/>
        <w:bottom w:val="none" w:sz="0" w:space="0" w:color="auto"/>
        <w:right w:val="none" w:sz="0" w:space="0" w:color="auto"/>
      </w:divBdr>
    </w:div>
    <w:div w:id="355470612">
      <w:bodyDiv w:val="1"/>
      <w:marLeft w:val="0"/>
      <w:marRight w:val="0"/>
      <w:marTop w:val="0"/>
      <w:marBottom w:val="0"/>
      <w:divBdr>
        <w:top w:val="none" w:sz="0" w:space="0" w:color="auto"/>
        <w:left w:val="none" w:sz="0" w:space="0" w:color="auto"/>
        <w:bottom w:val="none" w:sz="0" w:space="0" w:color="auto"/>
        <w:right w:val="none" w:sz="0" w:space="0" w:color="auto"/>
      </w:divBdr>
    </w:div>
    <w:div w:id="370611909">
      <w:bodyDiv w:val="1"/>
      <w:marLeft w:val="0"/>
      <w:marRight w:val="0"/>
      <w:marTop w:val="0"/>
      <w:marBottom w:val="0"/>
      <w:divBdr>
        <w:top w:val="none" w:sz="0" w:space="0" w:color="auto"/>
        <w:left w:val="none" w:sz="0" w:space="0" w:color="auto"/>
        <w:bottom w:val="none" w:sz="0" w:space="0" w:color="auto"/>
        <w:right w:val="none" w:sz="0" w:space="0" w:color="auto"/>
      </w:divBdr>
    </w:div>
    <w:div w:id="477840775">
      <w:bodyDiv w:val="1"/>
      <w:marLeft w:val="0"/>
      <w:marRight w:val="0"/>
      <w:marTop w:val="0"/>
      <w:marBottom w:val="0"/>
      <w:divBdr>
        <w:top w:val="none" w:sz="0" w:space="0" w:color="auto"/>
        <w:left w:val="none" w:sz="0" w:space="0" w:color="auto"/>
        <w:bottom w:val="none" w:sz="0" w:space="0" w:color="auto"/>
        <w:right w:val="none" w:sz="0" w:space="0" w:color="auto"/>
      </w:divBdr>
    </w:div>
    <w:div w:id="498036004">
      <w:bodyDiv w:val="1"/>
      <w:marLeft w:val="0"/>
      <w:marRight w:val="0"/>
      <w:marTop w:val="0"/>
      <w:marBottom w:val="0"/>
      <w:divBdr>
        <w:top w:val="none" w:sz="0" w:space="0" w:color="auto"/>
        <w:left w:val="none" w:sz="0" w:space="0" w:color="auto"/>
        <w:bottom w:val="none" w:sz="0" w:space="0" w:color="auto"/>
        <w:right w:val="none" w:sz="0" w:space="0" w:color="auto"/>
      </w:divBdr>
    </w:div>
    <w:div w:id="653334015">
      <w:bodyDiv w:val="1"/>
      <w:marLeft w:val="0"/>
      <w:marRight w:val="0"/>
      <w:marTop w:val="0"/>
      <w:marBottom w:val="0"/>
      <w:divBdr>
        <w:top w:val="none" w:sz="0" w:space="0" w:color="auto"/>
        <w:left w:val="none" w:sz="0" w:space="0" w:color="auto"/>
        <w:bottom w:val="none" w:sz="0" w:space="0" w:color="auto"/>
        <w:right w:val="none" w:sz="0" w:space="0" w:color="auto"/>
      </w:divBdr>
    </w:div>
    <w:div w:id="686441147">
      <w:bodyDiv w:val="1"/>
      <w:marLeft w:val="0"/>
      <w:marRight w:val="0"/>
      <w:marTop w:val="0"/>
      <w:marBottom w:val="0"/>
      <w:divBdr>
        <w:top w:val="none" w:sz="0" w:space="0" w:color="auto"/>
        <w:left w:val="none" w:sz="0" w:space="0" w:color="auto"/>
        <w:bottom w:val="none" w:sz="0" w:space="0" w:color="auto"/>
        <w:right w:val="none" w:sz="0" w:space="0" w:color="auto"/>
      </w:divBdr>
    </w:div>
    <w:div w:id="770273566">
      <w:bodyDiv w:val="1"/>
      <w:marLeft w:val="0"/>
      <w:marRight w:val="0"/>
      <w:marTop w:val="0"/>
      <w:marBottom w:val="0"/>
      <w:divBdr>
        <w:top w:val="none" w:sz="0" w:space="0" w:color="auto"/>
        <w:left w:val="none" w:sz="0" w:space="0" w:color="auto"/>
        <w:bottom w:val="none" w:sz="0" w:space="0" w:color="auto"/>
        <w:right w:val="none" w:sz="0" w:space="0" w:color="auto"/>
      </w:divBdr>
    </w:div>
    <w:div w:id="917439277">
      <w:bodyDiv w:val="1"/>
      <w:marLeft w:val="0"/>
      <w:marRight w:val="0"/>
      <w:marTop w:val="0"/>
      <w:marBottom w:val="0"/>
      <w:divBdr>
        <w:top w:val="none" w:sz="0" w:space="0" w:color="auto"/>
        <w:left w:val="none" w:sz="0" w:space="0" w:color="auto"/>
        <w:bottom w:val="none" w:sz="0" w:space="0" w:color="auto"/>
        <w:right w:val="none" w:sz="0" w:space="0" w:color="auto"/>
      </w:divBdr>
    </w:div>
    <w:div w:id="984428924">
      <w:bodyDiv w:val="1"/>
      <w:marLeft w:val="0"/>
      <w:marRight w:val="0"/>
      <w:marTop w:val="0"/>
      <w:marBottom w:val="0"/>
      <w:divBdr>
        <w:top w:val="none" w:sz="0" w:space="0" w:color="auto"/>
        <w:left w:val="none" w:sz="0" w:space="0" w:color="auto"/>
        <w:bottom w:val="none" w:sz="0" w:space="0" w:color="auto"/>
        <w:right w:val="none" w:sz="0" w:space="0" w:color="auto"/>
      </w:divBdr>
    </w:div>
    <w:div w:id="1054743164">
      <w:bodyDiv w:val="1"/>
      <w:marLeft w:val="0"/>
      <w:marRight w:val="0"/>
      <w:marTop w:val="0"/>
      <w:marBottom w:val="0"/>
      <w:divBdr>
        <w:top w:val="none" w:sz="0" w:space="0" w:color="auto"/>
        <w:left w:val="none" w:sz="0" w:space="0" w:color="auto"/>
        <w:bottom w:val="none" w:sz="0" w:space="0" w:color="auto"/>
        <w:right w:val="none" w:sz="0" w:space="0" w:color="auto"/>
      </w:divBdr>
    </w:div>
    <w:div w:id="1086146750">
      <w:bodyDiv w:val="1"/>
      <w:marLeft w:val="0"/>
      <w:marRight w:val="0"/>
      <w:marTop w:val="0"/>
      <w:marBottom w:val="0"/>
      <w:divBdr>
        <w:top w:val="none" w:sz="0" w:space="0" w:color="auto"/>
        <w:left w:val="none" w:sz="0" w:space="0" w:color="auto"/>
        <w:bottom w:val="none" w:sz="0" w:space="0" w:color="auto"/>
        <w:right w:val="none" w:sz="0" w:space="0" w:color="auto"/>
      </w:divBdr>
    </w:div>
    <w:div w:id="1117067686">
      <w:bodyDiv w:val="1"/>
      <w:marLeft w:val="0"/>
      <w:marRight w:val="0"/>
      <w:marTop w:val="0"/>
      <w:marBottom w:val="0"/>
      <w:divBdr>
        <w:top w:val="none" w:sz="0" w:space="0" w:color="auto"/>
        <w:left w:val="none" w:sz="0" w:space="0" w:color="auto"/>
        <w:bottom w:val="none" w:sz="0" w:space="0" w:color="auto"/>
        <w:right w:val="none" w:sz="0" w:space="0" w:color="auto"/>
      </w:divBdr>
    </w:div>
    <w:div w:id="1133064580">
      <w:bodyDiv w:val="1"/>
      <w:marLeft w:val="0"/>
      <w:marRight w:val="0"/>
      <w:marTop w:val="0"/>
      <w:marBottom w:val="0"/>
      <w:divBdr>
        <w:top w:val="none" w:sz="0" w:space="0" w:color="auto"/>
        <w:left w:val="none" w:sz="0" w:space="0" w:color="auto"/>
        <w:bottom w:val="none" w:sz="0" w:space="0" w:color="auto"/>
        <w:right w:val="none" w:sz="0" w:space="0" w:color="auto"/>
      </w:divBdr>
    </w:div>
    <w:div w:id="1205099336">
      <w:bodyDiv w:val="1"/>
      <w:marLeft w:val="0"/>
      <w:marRight w:val="0"/>
      <w:marTop w:val="0"/>
      <w:marBottom w:val="0"/>
      <w:divBdr>
        <w:top w:val="none" w:sz="0" w:space="0" w:color="auto"/>
        <w:left w:val="none" w:sz="0" w:space="0" w:color="auto"/>
        <w:bottom w:val="none" w:sz="0" w:space="0" w:color="auto"/>
        <w:right w:val="none" w:sz="0" w:space="0" w:color="auto"/>
      </w:divBdr>
    </w:div>
    <w:div w:id="1209951868">
      <w:bodyDiv w:val="1"/>
      <w:marLeft w:val="0"/>
      <w:marRight w:val="0"/>
      <w:marTop w:val="0"/>
      <w:marBottom w:val="0"/>
      <w:divBdr>
        <w:top w:val="none" w:sz="0" w:space="0" w:color="auto"/>
        <w:left w:val="none" w:sz="0" w:space="0" w:color="auto"/>
        <w:bottom w:val="none" w:sz="0" w:space="0" w:color="auto"/>
        <w:right w:val="none" w:sz="0" w:space="0" w:color="auto"/>
      </w:divBdr>
    </w:div>
    <w:div w:id="1325820705">
      <w:bodyDiv w:val="1"/>
      <w:marLeft w:val="0"/>
      <w:marRight w:val="0"/>
      <w:marTop w:val="0"/>
      <w:marBottom w:val="0"/>
      <w:divBdr>
        <w:top w:val="none" w:sz="0" w:space="0" w:color="auto"/>
        <w:left w:val="none" w:sz="0" w:space="0" w:color="auto"/>
        <w:bottom w:val="none" w:sz="0" w:space="0" w:color="auto"/>
        <w:right w:val="none" w:sz="0" w:space="0" w:color="auto"/>
      </w:divBdr>
    </w:div>
    <w:div w:id="1358658806">
      <w:bodyDiv w:val="1"/>
      <w:marLeft w:val="0"/>
      <w:marRight w:val="0"/>
      <w:marTop w:val="0"/>
      <w:marBottom w:val="0"/>
      <w:divBdr>
        <w:top w:val="none" w:sz="0" w:space="0" w:color="auto"/>
        <w:left w:val="none" w:sz="0" w:space="0" w:color="auto"/>
        <w:bottom w:val="none" w:sz="0" w:space="0" w:color="auto"/>
        <w:right w:val="none" w:sz="0" w:space="0" w:color="auto"/>
      </w:divBdr>
    </w:div>
    <w:div w:id="1365597054">
      <w:bodyDiv w:val="1"/>
      <w:marLeft w:val="0"/>
      <w:marRight w:val="0"/>
      <w:marTop w:val="0"/>
      <w:marBottom w:val="0"/>
      <w:divBdr>
        <w:top w:val="none" w:sz="0" w:space="0" w:color="auto"/>
        <w:left w:val="none" w:sz="0" w:space="0" w:color="auto"/>
        <w:bottom w:val="none" w:sz="0" w:space="0" w:color="auto"/>
        <w:right w:val="none" w:sz="0" w:space="0" w:color="auto"/>
      </w:divBdr>
    </w:div>
    <w:div w:id="1368292670">
      <w:bodyDiv w:val="1"/>
      <w:marLeft w:val="0"/>
      <w:marRight w:val="0"/>
      <w:marTop w:val="0"/>
      <w:marBottom w:val="0"/>
      <w:divBdr>
        <w:top w:val="none" w:sz="0" w:space="0" w:color="auto"/>
        <w:left w:val="none" w:sz="0" w:space="0" w:color="auto"/>
        <w:bottom w:val="none" w:sz="0" w:space="0" w:color="auto"/>
        <w:right w:val="none" w:sz="0" w:space="0" w:color="auto"/>
      </w:divBdr>
    </w:div>
    <w:div w:id="1405957846">
      <w:bodyDiv w:val="1"/>
      <w:marLeft w:val="0"/>
      <w:marRight w:val="0"/>
      <w:marTop w:val="0"/>
      <w:marBottom w:val="0"/>
      <w:divBdr>
        <w:top w:val="none" w:sz="0" w:space="0" w:color="auto"/>
        <w:left w:val="none" w:sz="0" w:space="0" w:color="auto"/>
        <w:bottom w:val="none" w:sz="0" w:space="0" w:color="auto"/>
        <w:right w:val="none" w:sz="0" w:space="0" w:color="auto"/>
      </w:divBdr>
    </w:div>
    <w:div w:id="1424374467">
      <w:bodyDiv w:val="1"/>
      <w:marLeft w:val="0"/>
      <w:marRight w:val="0"/>
      <w:marTop w:val="0"/>
      <w:marBottom w:val="0"/>
      <w:divBdr>
        <w:top w:val="none" w:sz="0" w:space="0" w:color="auto"/>
        <w:left w:val="none" w:sz="0" w:space="0" w:color="auto"/>
        <w:bottom w:val="none" w:sz="0" w:space="0" w:color="auto"/>
        <w:right w:val="none" w:sz="0" w:space="0" w:color="auto"/>
      </w:divBdr>
    </w:div>
    <w:div w:id="1457216667">
      <w:bodyDiv w:val="1"/>
      <w:marLeft w:val="0"/>
      <w:marRight w:val="0"/>
      <w:marTop w:val="0"/>
      <w:marBottom w:val="0"/>
      <w:divBdr>
        <w:top w:val="none" w:sz="0" w:space="0" w:color="auto"/>
        <w:left w:val="none" w:sz="0" w:space="0" w:color="auto"/>
        <w:bottom w:val="none" w:sz="0" w:space="0" w:color="auto"/>
        <w:right w:val="none" w:sz="0" w:space="0" w:color="auto"/>
      </w:divBdr>
    </w:div>
    <w:div w:id="1486043973">
      <w:bodyDiv w:val="1"/>
      <w:marLeft w:val="0"/>
      <w:marRight w:val="0"/>
      <w:marTop w:val="0"/>
      <w:marBottom w:val="0"/>
      <w:divBdr>
        <w:top w:val="none" w:sz="0" w:space="0" w:color="auto"/>
        <w:left w:val="none" w:sz="0" w:space="0" w:color="auto"/>
        <w:bottom w:val="none" w:sz="0" w:space="0" w:color="auto"/>
        <w:right w:val="none" w:sz="0" w:space="0" w:color="auto"/>
      </w:divBdr>
    </w:div>
    <w:div w:id="1526752244">
      <w:bodyDiv w:val="1"/>
      <w:marLeft w:val="0"/>
      <w:marRight w:val="0"/>
      <w:marTop w:val="0"/>
      <w:marBottom w:val="0"/>
      <w:divBdr>
        <w:top w:val="none" w:sz="0" w:space="0" w:color="auto"/>
        <w:left w:val="none" w:sz="0" w:space="0" w:color="auto"/>
        <w:bottom w:val="none" w:sz="0" w:space="0" w:color="auto"/>
        <w:right w:val="none" w:sz="0" w:space="0" w:color="auto"/>
      </w:divBdr>
    </w:div>
    <w:div w:id="1537114004">
      <w:bodyDiv w:val="1"/>
      <w:marLeft w:val="0"/>
      <w:marRight w:val="0"/>
      <w:marTop w:val="0"/>
      <w:marBottom w:val="0"/>
      <w:divBdr>
        <w:top w:val="none" w:sz="0" w:space="0" w:color="auto"/>
        <w:left w:val="none" w:sz="0" w:space="0" w:color="auto"/>
        <w:bottom w:val="none" w:sz="0" w:space="0" w:color="auto"/>
        <w:right w:val="none" w:sz="0" w:space="0" w:color="auto"/>
      </w:divBdr>
    </w:div>
    <w:div w:id="1569683598">
      <w:bodyDiv w:val="1"/>
      <w:marLeft w:val="0"/>
      <w:marRight w:val="0"/>
      <w:marTop w:val="0"/>
      <w:marBottom w:val="0"/>
      <w:divBdr>
        <w:top w:val="none" w:sz="0" w:space="0" w:color="auto"/>
        <w:left w:val="none" w:sz="0" w:space="0" w:color="auto"/>
        <w:bottom w:val="none" w:sz="0" w:space="0" w:color="auto"/>
        <w:right w:val="none" w:sz="0" w:space="0" w:color="auto"/>
      </w:divBdr>
    </w:div>
    <w:div w:id="1673875392">
      <w:bodyDiv w:val="1"/>
      <w:marLeft w:val="0"/>
      <w:marRight w:val="0"/>
      <w:marTop w:val="0"/>
      <w:marBottom w:val="0"/>
      <w:divBdr>
        <w:top w:val="none" w:sz="0" w:space="0" w:color="auto"/>
        <w:left w:val="none" w:sz="0" w:space="0" w:color="auto"/>
        <w:bottom w:val="none" w:sz="0" w:space="0" w:color="auto"/>
        <w:right w:val="none" w:sz="0" w:space="0" w:color="auto"/>
      </w:divBdr>
    </w:div>
    <w:div w:id="1757630192">
      <w:bodyDiv w:val="1"/>
      <w:marLeft w:val="0"/>
      <w:marRight w:val="0"/>
      <w:marTop w:val="0"/>
      <w:marBottom w:val="0"/>
      <w:divBdr>
        <w:top w:val="none" w:sz="0" w:space="0" w:color="auto"/>
        <w:left w:val="none" w:sz="0" w:space="0" w:color="auto"/>
        <w:bottom w:val="none" w:sz="0" w:space="0" w:color="auto"/>
        <w:right w:val="none" w:sz="0" w:space="0" w:color="auto"/>
      </w:divBdr>
    </w:div>
    <w:div w:id="1803494246">
      <w:bodyDiv w:val="1"/>
      <w:marLeft w:val="0"/>
      <w:marRight w:val="0"/>
      <w:marTop w:val="0"/>
      <w:marBottom w:val="0"/>
      <w:divBdr>
        <w:top w:val="none" w:sz="0" w:space="0" w:color="auto"/>
        <w:left w:val="none" w:sz="0" w:space="0" w:color="auto"/>
        <w:bottom w:val="none" w:sz="0" w:space="0" w:color="auto"/>
        <w:right w:val="none" w:sz="0" w:space="0" w:color="auto"/>
      </w:divBdr>
    </w:div>
    <w:div w:id="1826625033">
      <w:bodyDiv w:val="1"/>
      <w:marLeft w:val="0"/>
      <w:marRight w:val="0"/>
      <w:marTop w:val="0"/>
      <w:marBottom w:val="0"/>
      <w:divBdr>
        <w:top w:val="none" w:sz="0" w:space="0" w:color="auto"/>
        <w:left w:val="none" w:sz="0" w:space="0" w:color="auto"/>
        <w:bottom w:val="none" w:sz="0" w:space="0" w:color="auto"/>
        <w:right w:val="none" w:sz="0" w:space="0" w:color="auto"/>
      </w:divBdr>
    </w:div>
    <w:div w:id="1834837093">
      <w:bodyDiv w:val="1"/>
      <w:marLeft w:val="0"/>
      <w:marRight w:val="0"/>
      <w:marTop w:val="0"/>
      <w:marBottom w:val="0"/>
      <w:divBdr>
        <w:top w:val="none" w:sz="0" w:space="0" w:color="auto"/>
        <w:left w:val="none" w:sz="0" w:space="0" w:color="auto"/>
        <w:bottom w:val="none" w:sz="0" w:space="0" w:color="auto"/>
        <w:right w:val="none" w:sz="0" w:space="0" w:color="auto"/>
      </w:divBdr>
    </w:div>
    <w:div w:id="1876576492">
      <w:bodyDiv w:val="1"/>
      <w:marLeft w:val="0"/>
      <w:marRight w:val="0"/>
      <w:marTop w:val="0"/>
      <w:marBottom w:val="0"/>
      <w:divBdr>
        <w:top w:val="none" w:sz="0" w:space="0" w:color="auto"/>
        <w:left w:val="none" w:sz="0" w:space="0" w:color="auto"/>
        <w:bottom w:val="none" w:sz="0" w:space="0" w:color="auto"/>
        <w:right w:val="none" w:sz="0" w:space="0" w:color="auto"/>
      </w:divBdr>
    </w:div>
    <w:div w:id="1900169989">
      <w:bodyDiv w:val="1"/>
      <w:marLeft w:val="0"/>
      <w:marRight w:val="0"/>
      <w:marTop w:val="0"/>
      <w:marBottom w:val="0"/>
      <w:divBdr>
        <w:top w:val="none" w:sz="0" w:space="0" w:color="auto"/>
        <w:left w:val="none" w:sz="0" w:space="0" w:color="auto"/>
        <w:bottom w:val="none" w:sz="0" w:space="0" w:color="auto"/>
        <w:right w:val="none" w:sz="0" w:space="0" w:color="auto"/>
      </w:divBdr>
    </w:div>
    <w:div w:id="1909879030">
      <w:bodyDiv w:val="1"/>
      <w:marLeft w:val="0"/>
      <w:marRight w:val="0"/>
      <w:marTop w:val="0"/>
      <w:marBottom w:val="0"/>
      <w:divBdr>
        <w:top w:val="none" w:sz="0" w:space="0" w:color="auto"/>
        <w:left w:val="none" w:sz="0" w:space="0" w:color="auto"/>
        <w:bottom w:val="none" w:sz="0" w:space="0" w:color="auto"/>
        <w:right w:val="none" w:sz="0" w:space="0" w:color="auto"/>
      </w:divBdr>
    </w:div>
    <w:div w:id="1938828089">
      <w:bodyDiv w:val="1"/>
      <w:marLeft w:val="0"/>
      <w:marRight w:val="0"/>
      <w:marTop w:val="0"/>
      <w:marBottom w:val="0"/>
      <w:divBdr>
        <w:top w:val="none" w:sz="0" w:space="0" w:color="auto"/>
        <w:left w:val="none" w:sz="0" w:space="0" w:color="auto"/>
        <w:bottom w:val="none" w:sz="0" w:space="0" w:color="auto"/>
        <w:right w:val="none" w:sz="0" w:space="0" w:color="auto"/>
      </w:divBdr>
    </w:div>
    <w:div w:id="2009401202">
      <w:bodyDiv w:val="1"/>
      <w:marLeft w:val="0"/>
      <w:marRight w:val="0"/>
      <w:marTop w:val="0"/>
      <w:marBottom w:val="0"/>
      <w:divBdr>
        <w:top w:val="none" w:sz="0" w:space="0" w:color="auto"/>
        <w:left w:val="none" w:sz="0" w:space="0" w:color="auto"/>
        <w:bottom w:val="none" w:sz="0" w:space="0" w:color="auto"/>
        <w:right w:val="none" w:sz="0" w:space="0" w:color="auto"/>
      </w:divBdr>
    </w:div>
    <w:div w:id="2015692882">
      <w:bodyDiv w:val="1"/>
      <w:marLeft w:val="0"/>
      <w:marRight w:val="0"/>
      <w:marTop w:val="0"/>
      <w:marBottom w:val="0"/>
      <w:divBdr>
        <w:top w:val="none" w:sz="0" w:space="0" w:color="auto"/>
        <w:left w:val="none" w:sz="0" w:space="0" w:color="auto"/>
        <w:bottom w:val="none" w:sz="0" w:space="0" w:color="auto"/>
        <w:right w:val="none" w:sz="0" w:space="0" w:color="auto"/>
      </w:divBdr>
    </w:div>
    <w:div w:id="2101565484">
      <w:bodyDiv w:val="1"/>
      <w:marLeft w:val="0"/>
      <w:marRight w:val="0"/>
      <w:marTop w:val="0"/>
      <w:marBottom w:val="0"/>
      <w:divBdr>
        <w:top w:val="none" w:sz="0" w:space="0" w:color="auto"/>
        <w:left w:val="none" w:sz="0" w:space="0" w:color="auto"/>
        <w:bottom w:val="none" w:sz="0" w:space="0" w:color="auto"/>
        <w:right w:val="none" w:sz="0" w:space="0" w:color="auto"/>
      </w:divBdr>
    </w:div>
    <w:div w:id="210888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anlii.ca/t/k0q2z" TargetMode="External"/><Relationship Id="rId21" Type="http://schemas.openxmlformats.org/officeDocument/2006/relationships/hyperlink" Target="https://www.cleo.on.ca/en" TargetMode="External"/><Relationship Id="rId42" Type="http://schemas.openxmlformats.org/officeDocument/2006/relationships/chart" Target="charts/chart1.xml"/><Relationship Id="rId47" Type="http://schemas.openxmlformats.org/officeDocument/2006/relationships/hyperlink" Target="https://tribunalsontario.ca/documents/TO/Tribunals_Ontario_2023-2024_Annual_Report.html" TargetMode="External"/><Relationship Id="rId63" Type="http://schemas.openxmlformats.org/officeDocument/2006/relationships/header" Target="header2.xml"/><Relationship Id="rId68" Type="http://schemas.openxmlformats.org/officeDocument/2006/relationships/hyperlink" Target="https://hrlsc.on.ca/strategic-plan/" TargetMode="External"/><Relationship Id="rId16" Type="http://schemas.openxmlformats.org/officeDocument/2006/relationships/hyperlink" Target="https://hrlsc.on.ca/strategic-plan/" TargetMode="External"/><Relationship Id="rId11" Type="http://schemas.openxmlformats.org/officeDocument/2006/relationships/image" Target="media/image1.png"/><Relationship Id="rId32" Type="http://schemas.openxmlformats.org/officeDocument/2006/relationships/hyperlink" Target="https://www.nwac.ca/assets-documents/Magazine-ISSUE-25.pdf" TargetMode="External"/><Relationship Id="rId37" Type="http://schemas.openxmlformats.org/officeDocument/2006/relationships/hyperlink" Target="https://theconversation.com/frank-stronach-allegations-highlight-harassment-in-the-workplace-234133" TargetMode="External"/><Relationship Id="rId53" Type="http://schemas.openxmlformats.org/officeDocument/2006/relationships/chart" Target="charts/chart9.xml"/><Relationship Id="rId58" Type="http://schemas.openxmlformats.org/officeDocument/2006/relationships/chart" Target="charts/chart12.xml"/><Relationship Id="rId74" Type="http://schemas.openxmlformats.org/officeDocument/2006/relationships/hyperlink" Target="https://www.the519.org/programs/legal-clinic/" TargetMode="External"/><Relationship Id="rId79"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chart" Target="charts/chart15.xml"/><Relationship Id="rId82" Type="http://schemas.openxmlformats.org/officeDocument/2006/relationships/theme" Target="theme/theme1.xml"/><Relationship Id="rId19" Type="http://schemas.openxmlformats.org/officeDocument/2006/relationships/hyperlink" Target="https://hrlsc.on.ca/strategic-plan/" TargetMode="External"/><Relationship Id="rId14" Type="http://schemas.openxmlformats.org/officeDocument/2006/relationships/header" Target="header1.xml"/><Relationship Id="rId22" Type="http://schemas.openxmlformats.org/officeDocument/2006/relationships/hyperlink" Target="https://canlii.ca/t/k9wp9" TargetMode="External"/><Relationship Id="rId27" Type="http://schemas.openxmlformats.org/officeDocument/2006/relationships/hyperlink" Target="https://hrlsc.on.ca/opp-recommendations/" TargetMode="External"/><Relationship Id="rId30" Type="http://schemas.openxmlformats.org/officeDocument/2006/relationships/hyperlink" Target="https://www.canlii.org/en/on/onhrt/doc/2024/2024hrto770/2024hrto770.html" TargetMode="External"/><Relationship Id="rId35" Type="http://schemas.openxmlformats.org/officeDocument/2006/relationships/hyperlink" Target="https://www.ctvnews.ca/windsor/article/windsor-business-fined-35000-for-discrimination-and-reprisal-of-indigenous-transgender-woman/" TargetMode="External"/><Relationship Id="rId43" Type="http://schemas.openxmlformats.org/officeDocument/2006/relationships/chart" Target="charts/chart2.xml"/><Relationship Id="rId48" Type="http://schemas.openxmlformats.org/officeDocument/2006/relationships/chart" Target="charts/chart4.xml"/><Relationship Id="rId56" Type="http://schemas.openxmlformats.org/officeDocument/2006/relationships/hyperlink" Target="https://hrlsc.on.ca/wp-content/uploads/2024/12/2023-2024-HRLSC-Annual-Report-English.pdf" TargetMode="External"/><Relationship Id="rId64" Type="http://schemas.openxmlformats.org/officeDocument/2006/relationships/footer" Target="footer3.xml"/><Relationship Id="rId69" Type="http://schemas.openxmlformats.org/officeDocument/2006/relationships/image" Target="media/image3.png"/><Relationship Id="rId77"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chart" Target="charts/chart7.xml"/><Relationship Id="rId72" Type="http://schemas.openxmlformats.org/officeDocument/2006/relationships/chart" Target="charts/chart20.xml"/><Relationship Id="rId80"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hrlsc.on.ca/strategic-plan/" TargetMode="External"/><Relationship Id="rId25" Type="http://schemas.openxmlformats.org/officeDocument/2006/relationships/hyperlink" Target="https://hrlsc.on.ca/service-dog-certification/" TargetMode="External"/><Relationship Id="rId33" Type="http://schemas.openxmlformats.org/officeDocument/2006/relationships/hyperlink" Target="https://www.northbaynipissing.com/news/i-am-proud-of-myself-for-never-giving-up-almaguin-employer-sexually-harassed-young-woman/article_80fce91f-e7dc-5a42-900f-758639cd8c80.html" TargetMode="External"/><Relationship Id="rId38" Type="http://schemas.openxmlformats.org/officeDocument/2006/relationships/hyperlink" Target="https://montreal.ctvnews.ca/northern-ontario/article/victim-of-discrimination-on-north-bay-ont-transit-bus-speaks-out/" TargetMode="External"/><Relationship Id="rId46" Type="http://schemas.openxmlformats.org/officeDocument/2006/relationships/chart" Target="charts/chart3.xml"/><Relationship Id="rId59" Type="http://schemas.openxmlformats.org/officeDocument/2006/relationships/chart" Target="charts/chart13.xml"/><Relationship Id="rId67" Type="http://schemas.openxmlformats.org/officeDocument/2006/relationships/chart" Target="charts/chart17.xml"/><Relationship Id="rId20" Type="http://schemas.openxmlformats.org/officeDocument/2006/relationships/hyperlink" Target="https://hrlsc.on.ca/stakeholder-engagement/" TargetMode="External"/><Relationship Id="rId41" Type="http://schemas.openxmlformats.org/officeDocument/2006/relationships/hyperlink" Target="https://www.canadapost-postescanada.ca/cpc/en/support/articles/addressing-guidelines/postal-codes.page" TargetMode="External"/><Relationship Id="rId54" Type="http://schemas.openxmlformats.org/officeDocument/2006/relationships/chart" Target="charts/chart10.xml"/><Relationship Id="rId62" Type="http://schemas.openxmlformats.org/officeDocument/2006/relationships/chart" Target="charts/chart16.xml"/><Relationship Id="rId70" Type="http://schemas.openxmlformats.org/officeDocument/2006/relationships/chart" Target="charts/chart18.xm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canlii.ca/t/k5vj2" TargetMode="External"/><Relationship Id="rId28" Type="http://schemas.openxmlformats.org/officeDocument/2006/relationships/hyperlink" Target="https://canlii.ca/t/k8gsq" TargetMode="External"/><Relationship Id="rId36" Type="http://schemas.openxmlformats.org/officeDocument/2006/relationships/hyperlink" Target="https://www.them.us/story/canada-waxing-salon-indigenous-trans-woman-lawsuit" TargetMode="External"/><Relationship Id="rId49" Type="http://schemas.openxmlformats.org/officeDocument/2006/relationships/chart" Target="charts/chart5.xml"/><Relationship Id="rId57" Type="http://schemas.openxmlformats.org/officeDocument/2006/relationships/hyperlink" Target="https://tribunalsontario.ca/documents/TO/Tribunals_Ontario_2023-2024_Annual_Report.html" TargetMode="External"/><Relationship Id="rId10" Type="http://schemas.openxmlformats.org/officeDocument/2006/relationships/endnotes" Target="endnotes.xml"/><Relationship Id="rId31" Type="http://schemas.openxmlformats.org/officeDocument/2006/relationships/hyperlink" Target="https://canlii.ca/t/kb607" TargetMode="External"/><Relationship Id="rId44" Type="http://schemas.openxmlformats.org/officeDocument/2006/relationships/hyperlink" Target="https://tribunalsontario.ca/en/about/open-data/" TargetMode="External"/><Relationship Id="rId52" Type="http://schemas.openxmlformats.org/officeDocument/2006/relationships/chart" Target="charts/chart8.xml"/><Relationship Id="rId60" Type="http://schemas.openxmlformats.org/officeDocument/2006/relationships/chart" Target="charts/chart14.xml"/><Relationship Id="rId65" Type="http://schemas.openxmlformats.org/officeDocument/2006/relationships/hyperlink" Target="https://www.canlii.org/en/on/onhrt/doc/2024/2024hrto1838/2024hrto1838.html" TargetMode="External"/><Relationship Id="rId73" Type="http://schemas.openxmlformats.org/officeDocument/2006/relationships/chart" Target="charts/chart21.xml"/><Relationship Id="rId78" Type="http://schemas.openxmlformats.org/officeDocument/2006/relationships/header" Target="header4.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hrlsc.on.ca/stakeholder-engagement/" TargetMode="External"/><Relationship Id="rId39" Type="http://schemas.openxmlformats.org/officeDocument/2006/relationships/hyperlink" Target="https://www.cbc.ca/listen/live-radio/1-41-morning-north/clip/16121428-city-north-bay-ordered-pay-indigenous-family-45-thousand" TargetMode="External"/><Relationship Id="rId34" Type="http://schemas.openxmlformats.org/officeDocument/2006/relationships/hyperlink" Target="https://ici.radio-canada.ca/nouvelle/2082366/salon-epilation-transgenre-carruthers-droits-personne-trans" TargetMode="External"/><Relationship Id="rId50" Type="http://schemas.openxmlformats.org/officeDocument/2006/relationships/chart" Target="charts/chart6.xml"/><Relationship Id="rId55" Type="http://schemas.openxmlformats.org/officeDocument/2006/relationships/chart" Target="charts/chart11.xml"/><Relationship Id="rId7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chart" Target="charts/chart19.xml"/><Relationship Id="rId2" Type="http://schemas.openxmlformats.org/officeDocument/2006/relationships/customXml" Target="../customXml/item2.xml"/><Relationship Id="rId29" Type="http://schemas.openxmlformats.org/officeDocument/2006/relationships/hyperlink" Target="https://canlii.ca/t/k4v9x" TargetMode="External"/><Relationship Id="rId24" Type="http://schemas.openxmlformats.org/officeDocument/2006/relationships/hyperlink" Target="https://hrlsc.on.ca/service-dog-certification/" TargetMode="External"/><Relationship Id="rId40" Type="http://schemas.openxmlformats.org/officeDocument/2006/relationships/hyperlink" Target="https://www.buzzsprout.com/1500706/episodes/16869995" TargetMode="External"/><Relationship Id="rId45" Type="http://schemas.openxmlformats.org/officeDocument/2006/relationships/hyperlink" Target="https://tribunalsontario.ca/en/about/open-data/" TargetMode="External"/><Relationship Id="rId66" Type="http://schemas.openxmlformats.org/officeDocument/2006/relationships/hyperlink" Target="https://www.canlii.org/en/on/onhrt/doc/2024/2024hrto721/2024hrto721.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ohrc.on.ca/en/discussion-paper-reviewing-ontarios-human-rights-system" TargetMode="External"/><Relationship Id="rId3" Type="http://schemas.openxmlformats.org/officeDocument/2006/relationships/hyperlink" Target="https://www.ontariocourts.ca/scj/court-locations/all-court-locations/" TargetMode="External"/><Relationship Id="rId7" Type="http://schemas.openxmlformats.org/officeDocument/2006/relationships/hyperlink" Target="https://ganhri.org/paris-principles/" TargetMode="External"/><Relationship Id="rId2" Type="http://schemas.openxmlformats.org/officeDocument/2006/relationships/hyperlink" Target="https://tribunalsontario.ca/en/about/open-data/" TargetMode="External"/><Relationship Id="rId1" Type="http://schemas.openxmlformats.org/officeDocument/2006/relationships/hyperlink" Target="https://www.canadapost-postescanada.ca/cpc/en/support/articles/addressing-guidelines/postal-codes.page" TargetMode="External"/><Relationship Id="rId6" Type="http://schemas.openxmlformats.org/officeDocument/2006/relationships/hyperlink" Target="https://ganhri.org/paris-principles/" TargetMode="External"/><Relationship Id="rId5" Type="http://schemas.openxmlformats.org/officeDocument/2006/relationships/hyperlink" Target="https://www150.statcan.gc.ca/t1/tbl1/en/tv.action?pid=3510013201" TargetMode="External"/><Relationship Id="rId4" Type="http://schemas.openxmlformats.org/officeDocument/2006/relationships/hyperlink" Target="https://www3.ohrc.on.ca/en/policy-ableism-and-discrimination-based-disability/4-intersecting-ground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HRLSCSV023FP\Mgmt$\Management%20&amp;%20Administration\Statistics\Ontario%20Regional%20Population%20Breakdowns\Ontario%20Regions%20by%20%25%20of%20Provincial%20Population%20-%202021%20Census%20Data%20-%20Updat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williac\AppData\Local\Microsoft\Windows\INetCache\Content.Outlook\02PQ95WN\Copy%20of%202024-25%20Data%20For%20Board%20-au.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3" Type="http://schemas.openxmlformats.org/officeDocument/2006/relationships/oleObject" Target="https://ontariogov-my.sharepoint.com/personal/andrew_ursel_hrlsc_on_ca/Documents/Documents/2024-2025%20AR%20release%20drafts/2024-2025%20AR%20Charts%20FR.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2.xml"/></Relationships>
</file>

<file path=word/charts/_rels/chart19.xml.rels><?xml version="1.0" encoding="UTF-8" standalone="yes"?>
<Relationships xmlns="http://schemas.openxmlformats.org/package/2006/relationships"><Relationship Id="rId3" Type="http://schemas.openxmlformats.org/officeDocument/2006/relationships/oleObject" Target="https://hrlsc-my.sharepoint.com/personal/ursela_hrlsc_on_ca1/Documents/2024-2025%20AR%20Charts%20FR.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HRLSCSV023FP\Profiles$\williac\Desktop\Current%20Work\Data%20for%20Board%20and%20Annual%20Report\2024-25%20Data%20For%20Board.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C:\Users\williac\AppData\Roaming\Microsoft\Excel\2024-25%20Data%20For%20Board%20(version%201).xlsb"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oleObject" Target="file:///C:\Users\williac\AppData\Roaming\Microsoft\Excel\2024-25%20Data%20For%20Board%20(version%201).xlsb"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bg2">
                    <a:lumMod val="50000"/>
                  </a:schemeClr>
                </a:solidFill>
                <a:latin typeface="Tahoma" panose="020B0604030504040204" pitchFamily="34" charset="0"/>
                <a:ea typeface="Tahoma" panose="020B0604030504040204" pitchFamily="34" charset="0"/>
                <a:cs typeface="Tahoma" panose="020B0604030504040204" pitchFamily="34" charset="0"/>
              </a:defRPr>
            </a:pPr>
            <a:r>
              <a:rPr lang="en-US" sz="1600" b="0" i="0">
                <a:solidFill>
                  <a:schemeClr val="bg2">
                    <a:lumMod val="50000"/>
                  </a:schemeClr>
                </a:solidFill>
              </a:rPr>
              <a:t>ONTARIO REGIONS BY POPULATION SHARE</a:t>
            </a:r>
          </a:p>
        </c:rich>
      </c:tx>
      <c:layout>
        <c:manualLayout>
          <c:xMode val="edge"/>
          <c:yMode val="edge"/>
          <c:x val="0.1235407567981128"/>
          <c:y val="2.0964360587002098E-2"/>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bg2">
                  <a:lumMod val="50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pieChart>
        <c:varyColors val="1"/>
        <c:ser>
          <c:idx val="0"/>
          <c:order val="0"/>
          <c:spPr>
            <a:ln>
              <a:solidFill>
                <a:sysClr val="window" lastClr="FFFFFF"/>
              </a:solidFill>
            </a:ln>
          </c:spPr>
          <c:dPt>
            <c:idx val="0"/>
            <c:bubble3D val="0"/>
            <c:spPr>
              <a:solidFill>
                <a:srgbClr val="C5583A"/>
              </a:solidFill>
              <a:ln>
                <a:solidFill>
                  <a:sysClr val="window" lastClr="FFFFFF"/>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B3E-4906-9911-48C56DF196AD}"/>
              </c:ext>
            </c:extLst>
          </c:dPt>
          <c:dPt>
            <c:idx val="1"/>
            <c:bubble3D val="0"/>
            <c:spPr>
              <a:solidFill>
                <a:srgbClr val="5D7F8D"/>
              </a:solidFill>
              <a:ln>
                <a:solidFill>
                  <a:sysClr val="window" lastClr="FFFFFF"/>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B3E-4906-9911-48C56DF196AD}"/>
              </c:ext>
            </c:extLst>
          </c:dPt>
          <c:dPt>
            <c:idx val="2"/>
            <c:bubble3D val="0"/>
            <c:spPr>
              <a:solidFill>
                <a:srgbClr val="F2C777"/>
              </a:solidFill>
              <a:ln>
                <a:solidFill>
                  <a:sysClr val="window" lastClr="FFFFFF"/>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B3E-4906-9911-48C56DF196AD}"/>
              </c:ext>
            </c:extLst>
          </c:dPt>
          <c:dPt>
            <c:idx val="3"/>
            <c:bubble3D val="0"/>
            <c:spPr>
              <a:solidFill>
                <a:schemeClr val="accent4"/>
              </a:solidFill>
              <a:ln>
                <a:solidFill>
                  <a:sysClr val="window" lastClr="FFFFFF"/>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B3E-4906-9911-48C56DF196AD}"/>
              </c:ext>
            </c:extLst>
          </c:dPt>
          <c:dPt>
            <c:idx val="4"/>
            <c:bubble3D val="0"/>
            <c:spPr>
              <a:solidFill>
                <a:schemeClr val="accent5"/>
              </a:solidFill>
              <a:ln>
                <a:solidFill>
                  <a:sysClr val="window" lastClr="FFFFFF"/>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B3E-4906-9911-48C56DF196AD}"/>
              </c:ext>
            </c:extLst>
          </c:dPt>
          <c:dLbls>
            <c:dLbl>
              <c:idx val="0"/>
              <c:tx>
                <c:rich>
                  <a:bodyPr/>
                  <a:lstStyle/>
                  <a:p>
                    <a:fld id="{D93B2174-2B43-44A9-AC5D-D1B4D92A0D68}" type="CATEGORYNAME">
                      <a:rPr lang="en-US">
                        <a:latin typeface="Tahoma" panose="020B0604030504040204" pitchFamily="34" charset="0"/>
                        <a:ea typeface="Tahoma" panose="020B0604030504040204" pitchFamily="34" charset="0"/>
                        <a:cs typeface="Tahoma" panose="020B0604030504040204" pitchFamily="34" charset="0"/>
                      </a:rPr>
                      <a:pPr/>
                      <a:t>[CATEGORY NAME]</a:t>
                    </a:fld>
                    <a:r>
                      <a:rPr lang="en-US" baseline="0">
                        <a:latin typeface="Tahoma" panose="020B0604030504040204" pitchFamily="34" charset="0"/>
                        <a:ea typeface="Tahoma" panose="020B0604030504040204" pitchFamily="34" charset="0"/>
                        <a:cs typeface="Tahoma" panose="020B0604030504040204" pitchFamily="34" charset="0"/>
                      </a:rPr>
                      <a:t>
</a:t>
                    </a:r>
                    <a:fld id="{08E1CECA-BB50-46EB-8768-9E92266E15F0}" type="PERCENTAGE">
                      <a:rPr lang="en-US" baseline="0">
                        <a:latin typeface="Tahoma" panose="020B0604030504040204" pitchFamily="34" charset="0"/>
                        <a:ea typeface="Tahoma" panose="020B0604030504040204" pitchFamily="34" charset="0"/>
                        <a:cs typeface="Tahoma" panose="020B0604030504040204" pitchFamily="34" charset="0"/>
                      </a:rPr>
                      <a:pPr/>
                      <a:t>[PERCENTAGE]</a:t>
                    </a:fld>
                    <a:endParaRPr lang="en-US" baseline="0">
                      <a:latin typeface="Tahoma" panose="020B0604030504040204" pitchFamily="34" charset="0"/>
                      <a:ea typeface="Tahoma" panose="020B0604030504040204" pitchFamily="34" charset="0"/>
                      <a:cs typeface="Tahoma" panose="020B0604030504040204" pitchFamily="34" charset="0"/>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B3E-4906-9911-48C56DF196AD}"/>
                </c:ext>
              </c:extLst>
            </c:dLbl>
            <c:dLbl>
              <c:idx val="1"/>
              <c:layout>
                <c:manualLayout>
                  <c:x val="0.15000000000000011"/>
                  <c:y val="0"/>
                </c:manualLayout>
              </c:layout>
              <c:tx>
                <c:rich>
                  <a:bodyPr/>
                  <a:lstStyle/>
                  <a:p>
                    <a:fld id="{A50F181A-AD1E-4588-9486-5F347388CCDB}" type="CATEGORYNAME">
                      <a:rPr lang="en-US">
                        <a:latin typeface="Tahoma" panose="020B0604030504040204" pitchFamily="34" charset="0"/>
                        <a:ea typeface="Tahoma" panose="020B0604030504040204" pitchFamily="34" charset="0"/>
                        <a:cs typeface="Tahoma" panose="020B0604030504040204" pitchFamily="34" charset="0"/>
                      </a:rPr>
                      <a:pPr/>
                      <a:t>[CATEGORY NAME]</a:t>
                    </a:fld>
                    <a:r>
                      <a:rPr lang="en-US" baseline="0">
                        <a:latin typeface="Tahoma" panose="020B0604030504040204" pitchFamily="34" charset="0"/>
                        <a:ea typeface="Tahoma" panose="020B0604030504040204" pitchFamily="34" charset="0"/>
                        <a:cs typeface="Tahoma" panose="020B0604030504040204" pitchFamily="34" charset="0"/>
                      </a:rPr>
                      <a:t>
</a:t>
                    </a:r>
                    <a:fld id="{5E6C1838-644D-4399-AB8D-3D39F9EF8FC7}" type="PERCENTAGE">
                      <a:rPr lang="en-US" baseline="0">
                        <a:latin typeface="Tahoma" panose="020B0604030504040204" pitchFamily="34" charset="0"/>
                        <a:ea typeface="Tahoma" panose="020B0604030504040204" pitchFamily="34" charset="0"/>
                        <a:cs typeface="Tahoma" panose="020B0604030504040204" pitchFamily="34" charset="0"/>
                      </a:rPr>
                      <a:pPr/>
                      <a:t>[PERCENTAGE]</a:t>
                    </a:fld>
                    <a:endParaRPr lang="en-US"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B3E-4906-9911-48C56DF196AD}"/>
                </c:ext>
              </c:extLst>
            </c:dLbl>
            <c:dLbl>
              <c:idx val="2"/>
              <c:tx>
                <c:rich>
                  <a:bodyPr/>
                  <a:lstStyle/>
                  <a:p>
                    <a:fld id="{7D8C533E-B10E-46D8-98FC-C76276862DA1}" type="CATEGORYNAME">
                      <a:rPr lang="en-US"/>
                      <a:pPr/>
                      <a:t>[CATEGORY NAME]</a:t>
                    </a:fld>
                    <a:r>
                      <a:rPr lang="en-US" baseline="0"/>
                      <a:t>
</a:t>
                    </a:r>
                    <a:fld id="{3A09451D-FD5A-4C41-8F1E-9ECF11C271C9}" type="PERCENTAGE">
                      <a:rPr lang="en-US" baseline="0">
                        <a:latin typeface="Tahoma" panose="020B0604030504040204" pitchFamily="34" charset="0"/>
                        <a:ea typeface="Tahoma" panose="020B0604030504040204" pitchFamily="34" charset="0"/>
                        <a:cs typeface="Tahoma" panose="020B0604030504040204" pitchFamily="34" charset="0"/>
                      </a:rPr>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B3E-4906-9911-48C56DF196AD}"/>
                </c:ext>
              </c:extLst>
            </c:dLbl>
            <c:dLbl>
              <c:idx val="3"/>
              <c:tx>
                <c:rich>
                  <a:bodyPr/>
                  <a:lstStyle/>
                  <a:p>
                    <a:fld id="{E92F487B-71B3-4933-B5B5-A1CB70BD364F}" type="CATEGORYNAME">
                      <a:rPr lang="en-US">
                        <a:latin typeface="Tahoma" panose="020B0604030504040204" pitchFamily="34" charset="0"/>
                        <a:ea typeface="Tahoma" panose="020B0604030504040204" pitchFamily="34" charset="0"/>
                        <a:cs typeface="Tahoma" panose="020B0604030504040204" pitchFamily="34" charset="0"/>
                      </a:rPr>
                      <a:pPr/>
                      <a:t>[CATEGORY NAME]</a:t>
                    </a:fld>
                    <a:r>
                      <a:rPr lang="en-US" baseline="0">
                        <a:latin typeface="Tahoma" panose="020B0604030504040204" pitchFamily="34" charset="0"/>
                        <a:ea typeface="Tahoma" panose="020B0604030504040204" pitchFamily="34" charset="0"/>
                        <a:cs typeface="Tahoma" panose="020B0604030504040204" pitchFamily="34" charset="0"/>
                      </a:rPr>
                      <a:t>
</a:t>
                    </a:r>
                    <a:fld id="{2C58D4CC-AF61-4EF9-A7CC-405CB6E002AF}" type="PERCENTAGE">
                      <a:rPr lang="en-US" baseline="0">
                        <a:latin typeface="Tahoma" panose="020B0604030504040204" pitchFamily="34" charset="0"/>
                        <a:ea typeface="Tahoma" panose="020B0604030504040204" pitchFamily="34" charset="0"/>
                        <a:cs typeface="Tahoma" panose="020B0604030504040204" pitchFamily="34" charset="0"/>
                      </a:rPr>
                      <a:pPr/>
                      <a:t>[PERCENTAGE]</a:t>
                    </a:fld>
                    <a:endParaRPr lang="en-US" baseline="0">
                      <a:latin typeface="Tahoma" panose="020B0604030504040204" pitchFamily="34" charset="0"/>
                      <a:ea typeface="Tahoma" panose="020B0604030504040204" pitchFamily="34" charset="0"/>
                      <a:cs typeface="Tahoma" panose="020B0604030504040204" pitchFamily="34" charset="0"/>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B3E-4906-9911-48C56DF196AD}"/>
                </c:ext>
              </c:extLst>
            </c:dLbl>
            <c:dLbl>
              <c:idx val="4"/>
              <c:layout>
                <c:manualLayout>
                  <c:x val="-2.2222222222222223E-2"/>
                  <c:y val="2.7272727272727271E-2"/>
                </c:manualLayout>
              </c:layout>
              <c:tx>
                <c:rich>
                  <a:bodyPr/>
                  <a:lstStyle/>
                  <a:p>
                    <a:fld id="{E4DB17F4-E830-4457-BDBC-35BD2D27EAEA}" type="CATEGORYNAME">
                      <a:rPr lang="en-US">
                        <a:latin typeface="Tahoma" panose="020B0604030504040204" pitchFamily="34" charset="0"/>
                        <a:ea typeface="Tahoma" panose="020B0604030504040204" pitchFamily="34" charset="0"/>
                        <a:cs typeface="Tahoma" panose="020B0604030504040204" pitchFamily="34" charset="0"/>
                      </a:rPr>
                      <a:pPr/>
                      <a:t>[CATEGORY NAME]</a:t>
                    </a:fld>
                    <a:r>
                      <a:rPr lang="en-US" baseline="0">
                        <a:latin typeface="Tahoma" panose="020B0604030504040204" pitchFamily="34" charset="0"/>
                        <a:ea typeface="Tahoma" panose="020B0604030504040204" pitchFamily="34" charset="0"/>
                        <a:cs typeface="Tahoma" panose="020B0604030504040204" pitchFamily="34" charset="0"/>
                      </a:rPr>
                      <a:t>
</a:t>
                    </a:r>
                    <a:fld id="{EF3E272C-31A3-4421-B971-A8A6DBB285A7}" type="PERCENTAGE">
                      <a:rPr lang="en-US" baseline="0">
                        <a:latin typeface="Tahoma" panose="020B0604030504040204" pitchFamily="34" charset="0"/>
                        <a:ea typeface="Tahoma" panose="020B0604030504040204" pitchFamily="34" charset="0"/>
                        <a:cs typeface="Tahoma" panose="020B0604030504040204" pitchFamily="34" charset="0"/>
                      </a:rPr>
                      <a:pPr/>
                      <a:t>[PERCENTAGE]</a:t>
                    </a:fld>
                    <a:endParaRPr lang="en-US"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B3E-4906-9911-48C56DF196AD}"/>
                </c:ext>
              </c:extLst>
            </c:dLbl>
            <c:spPr>
              <a:solidFill>
                <a:sysClr val="window" lastClr="FFFFFF"/>
              </a:solidFill>
              <a:ln>
                <a:solidFill>
                  <a:sysClr val="window" lastClr="FFFFFF">
                    <a:lumMod val="50000"/>
                  </a:sysClr>
                </a:solid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'Ontario Regions by % of Provinc'!$I$3:$I$7</c:f>
              <c:strCache>
                <c:ptCount val="5"/>
                <c:pt idx="0">
                  <c:v>Central</c:v>
                </c:pt>
                <c:pt idx="1">
                  <c:v>Metro Toronto</c:v>
                </c:pt>
                <c:pt idx="2">
                  <c:v>Southwest</c:v>
                </c:pt>
                <c:pt idx="3">
                  <c:v>East</c:v>
                </c:pt>
                <c:pt idx="4">
                  <c:v>North</c:v>
                </c:pt>
              </c:strCache>
            </c:strRef>
          </c:cat>
          <c:val>
            <c:numRef>
              <c:f>'Ontario Regions by % of Provinc'!$J$3:$J$7</c:f>
              <c:numCache>
                <c:formatCode>General</c:formatCode>
                <c:ptCount val="5"/>
                <c:pt idx="0">
                  <c:v>5599314</c:v>
                </c:pt>
                <c:pt idx="1">
                  <c:v>2794323</c:v>
                </c:pt>
                <c:pt idx="2">
                  <c:v>2779475</c:v>
                </c:pt>
                <c:pt idx="3">
                  <c:v>2196966</c:v>
                </c:pt>
                <c:pt idx="4">
                  <c:v>853863</c:v>
                </c:pt>
              </c:numCache>
            </c:numRef>
          </c:val>
          <c:extLst>
            <c:ext xmlns:c16="http://schemas.microsoft.com/office/drawing/2014/chart" uri="{C3380CC4-5D6E-409C-BE32-E72D297353CC}">
              <c16:uniqueId val="{0000000A-9B3E-4906-9911-48C56DF196AD}"/>
            </c:ext>
          </c:extLst>
        </c:ser>
        <c:dLbls>
          <c:dLblPos val="ctr"/>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all" spc="0" baseline="0">
                <a:solidFill>
                  <a:schemeClr val="tx1">
                    <a:lumMod val="65000"/>
                    <a:lumOff val="35000"/>
                  </a:schemeClr>
                </a:solidFill>
                <a:latin typeface="+mn-lt"/>
                <a:ea typeface="+mn-ea"/>
                <a:cs typeface="+mn-cs"/>
              </a:defRPr>
            </a:pPr>
            <a:r>
              <a:rPr lang="en-US" cap="all" baseline="0"/>
              <a:t>Summary Advice (# of Inquiry Responses)</a:t>
            </a:r>
          </a:p>
        </c:rich>
      </c:tx>
      <c:overlay val="0"/>
      <c:spPr>
        <a:noFill/>
        <a:ln>
          <a:noFill/>
        </a:ln>
        <a:effectLst/>
      </c:spPr>
      <c:txPr>
        <a:bodyPr rot="0" spcFirstLastPara="1" vertOverflow="ellipsis" vert="horz" wrap="square" anchor="ctr" anchorCtr="1"/>
        <a:lstStyle/>
        <a:p>
          <a:pPr>
            <a:defRPr sz="1400" b="0" i="0" u="none" strike="noStrike" kern="1200" cap="all"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'Summary Advice'!$A$2</c:f>
              <c:strCache>
                <c:ptCount val="1"/>
                <c:pt idx="0">
                  <c:v>Inquiry Responses</c:v>
                </c:pt>
              </c:strCache>
            </c:strRef>
          </c:tx>
          <c:spPr>
            <a:solidFill>
              <a:srgbClr val="5D7F8D"/>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Advice'!$B$1:$F$1</c:f>
              <c:strCache>
                <c:ptCount val="5"/>
                <c:pt idx="0">
                  <c:v>2020/21</c:v>
                </c:pt>
                <c:pt idx="1">
                  <c:v>2021/22</c:v>
                </c:pt>
                <c:pt idx="2">
                  <c:v>2022/23</c:v>
                </c:pt>
                <c:pt idx="3">
                  <c:v>2023/24</c:v>
                </c:pt>
                <c:pt idx="4">
                  <c:v>2024/25</c:v>
                </c:pt>
              </c:strCache>
            </c:strRef>
          </c:cat>
          <c:val>
            <c:numRef>
              <c:f>'Summary Advice'!$B$2:$F$2</c:f>
              <c:numCache>
                <c:formatCode>#,##0</c:formatCode>
                <c:ptCount val="5"/>
                <c:pt idx="0">
                  <c:v>17579</c:v>
                </c:pt>
                <c:pt idx="1">
                  <c:v>18577</c:v>
                </c:pt>
                <c:pt idx="2">
                  <c:v>17521</c:v>
                </c:pt>
                <c:pt idx="3">
                  <c:v>19292</c:v>
                </c:pt>
                <c:pt idx="4">
                  <c:v>24426</c:v>
                </c:pt>
              </c:numCache>
            </c:numRef>
          </c:val>
          <c:extLst>
            <c:ext xmlns:c16="http://schemas.microsoft.com/office/drawing/2014/chart" uri="{C3380CC4-5D6E-409C-BE32-E72D297353CC}">
              <c16:uniqueId val="{00000000-03E0-402C-A932-39C4A7DB6A9B}"/>
            </c:ext>
          </c:extLst>
        </c:ser>
        <c:dLbls>
          <c:showLegendKey val="0"/>
          <c:showVal val="0"/>
          <c:showCatName val="0"/>
          <c:showSerName val="0"/>
          <c:showPercent val="0"/>
          <c:showBubbleSize val="0"/>
        </c:dLbls>
        <c:gapWidth val="150"/>
        <c:overlap val="-27"/>
        <c:axId val="561998000"/>
        <c:axId val="562008440"/>
      </c:barChart>
      <c:lineChart>
        <c:grouping val="standard"/>
        <c:varyColors val="0"/>
        <c:ser>
          <c:idx val="1"/>
          <c:order val="1"/>
          <c:tx>
            <c:strRef>
              <c:f>'Summary Advice'!$A$3</c:f>
              <c:strCache>
                <c:ptCount val="1"/>
                <c:pt idx="0">
                  <c:v>5 Year Average (2020/21 to 2024/25)</c:v>
                </c:pt>
              </c:strCache>
            </c:strRef>
          </c:tx>
          <c:spPr>
            <a:ln w="28575" cap="rnd">
              <a:solidFill>
                <a:srgbClr val="C5583A"/>
              </a:solidFill>
              <a:round/>
            </a:ln>
            <a:effectLst/>
          </c:spPr>
          <c:marker>
            <c:symbol val="none"/>
          </c:marker>
          <c:cat>
            <c:strRef>
              <c:f>'Summary Advice'!$B$1:$F$1</c:f>
              <c:strCache>
                <c:ptCount val="5"/>
                <c:pt idx="0">
                  <c:v>2020/21</c:v>
                </c:pt>
                <c:pt idx="1">
                  <c:v>2021/22</c:v>
                </c:pt>
                <c:pt idx="2">
                  <c:v>2022/23</c:v>
                </c:pt>
                <c:pt idx="3">
                  <c:v>2023/24</c:v>
                </c:pt>
                <c:pt idx="4">
                  <c:v>2024/25</c:v>
                </c:pt>
              </c:strCache>
            </c:strRef>
          </c:cat>
          <c:val>
            <c:numRef>
              <c:f>'Summary Advice'!$B$3:$F$3</c:f>
              <c:numCache>
                <c:formatCode>General</c:formatCode>
                <c:ptCount val="5"/>
                <c:pt idx="0">
                  <c:v>19479</c:v>
                </c:pt>
                <c:pt idx="1">
                  <c:v>19479</c:v>
                </c:pt>
                <c:pt idx="2">
                  <c:v>19479</c:v>
                </c:pt>
                <c:pt idx="3">
                  <c:v>19479</c:v>
                </c:pt>
                <c:pt idx="4">
                  <c:v>19479</c:v>
                </c:pt>
              </c:numCache>
            </c:numRef>
          </c:val>
          <c:smooth val="0"/>
          <c:extLst>
            <c:ext xmlns:c16="http://schemas.microsoft.com/office/drawing/2014/chart" uri="{C3380CC4-5D6E-409C-BE32-E72D297353CC}">
              <c16:uniqueId val="{00000001-03E0-402C-A932-39C4A7DB6A9B}"/>
            </c:ext>
          </c:extLst>
        </c:ser>
        <c:dLbls>
          <c:showLegendKey val="0"/>
          <c:showVal val="0"/>
          <c:showCatName val="0"/>
          <c:showSerName val="0"/>
          <c:showPercent val="0"/>
          <c:showBubbleSize val="0"/>
        </c:dLbls>
        <c:marker val="1"/>
        <c:smooth val="0"/>
        <c:axId val="561998000"/>
        <c:axId val="562008440"/>
      </c:lineChart>
      <c:catAx>
        <c:axId val="56199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008440"/>
        <c:crosses val="autoZero"/>
        <c:auto val="1"/>
        <c:lblAlgn val="ctr"/>
        <c:lblOffset val="100"/>
        <c:noMultiLvlLbl val="0"/>
      </c:catAx>
      <c:valAx>
        <c:axId val="562008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 of Inquriy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99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INCREASES</a:t>
            </a:r>
            <a:r>
              <a:rPr lang="en-US" baseline="0"/>
              <a:t> IN SUMMARY ADVICE AND APPLICATIONS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'Summary Adv and Apps'!$B$1</c:f>
              <c:strCache>
                <c:ptCount val="1"/>
                <c:pt idx="0">
                  <c:v>2020/21 to 2023/24 (4 Year Avg.)</c:v>
                </c:pt>
              </c:strCache>
            </c:strRef>
          </c:tx>
          <c:spPr>
            <a:solidFill>
              <a:srgbClr val="5D7F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Adv and Apps'!$A$2:$A$3</c:f>
              <c:strCache>
                <c:ptCount val="2"/>
                <c:pt idx="0">
                  <c:v>HRLCS - Summary Advice</c:v>
                </c:pt>
                <c:pt idx="1">
                  <c:v>HRTO - Applications</c:v>
                </c:pt>
              </c:strCache>
            </c:strRef>
          </c:cat>
          <c:val>
            <c:numRef>
              <c:f>'Summary Adv and Apps'!$B$2:$B$3</c:f>
              <c:numCache>
                <c:formatCode>#,##0</c:formatCode>
                <c:ptCount val="2"/>
                <c:pt idx="0">
                  <c:v>18242</c:v>
                </c:pt>
                <c:pt idx="1">
                  <c:v>3774</c:v>
                </c:pt>
              </c:numCache>
            </c:numRef>
          </c:val>
          <c:extLst>
            <c:ext xmlns:c16="http://schemas.microsoft.com/office/drawing/2014/chart" uri="{C3380CC4-5D6E-409C-BE32-E72D297353CC}">
              <c16:uniqueId val="{00000000-0305-4AF3-87B1-31613FFCC33C}"/>
            </c:ext>
          </c:extLst>
        </c:ser>
        <c:ser>
          <c:idx val="1"/>
          <c:order val="1"/>
          <c:tx>
            <c:strRef>
              <c:f>'Summary Adv and Apps'!$C$1</c:f>
              <c:strCache>
                <c:ptCount val="1"/>
                <c:pt idx="0">
                  <c:v>2024/25</c:v>
                </c:pt>
              </c:strCache>
            </c:strRef>
          </c:tx>
          <c:spPr>
            <a:solidFill>
              <a:srgbClr val="C558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Adv and Apps'!$A$2:$A$3</c:f>
              <c:strCache>
                <c:ptCount val="2"/>
                <c:pt idx="0">
                  <c:v>HRLCS - Summary Advice</c:v>
                </c:pt>
                <c:pt idx="1">
                  <c:v>HRTO - Applications</c:v>
                </c:pt>
              </c:strCache>
            </c:strRef>
          </c:cat>
          <c:val>
            <c:numRef>
              <c:f>'Summary Adv and Apps'!$C$2:$C$3</c:f>
              <c:numCache>
                <c:formatCode>#,##0</c:formatCode>
                <c:ptCount val="2"/>
                <c:pt idx="0">
                  <c:v>24426</c:v>
                </c:pt>
                <c:pt idx="1">
                  <c:v>4588</c:v>
                </c:pt>
              </c:numCache>
            </c:numRef>
          </c:val>
          <c:extLst>
            <c:ext xmlns:c16="http://schemas.microsoft.com/office/drawing/2014/chart" uri="{C3380CC4-5D6E-409C-BE32-E72D297353CC}">
              <c16:uniqueId val="{00000001-0305-4AF3-87B1-31613FFCC33C}"/>
            </c:ext>
          </c:extLst>
        </c:ser>
        <c:dLbls>
          <c:showLegendKey val="0"/>
          <c:showVal val="0"/>
          <c:showCatName val="0"/>
          <c:showSerName val="0"/>
          <c:showPercent val="0"/>
          <c:showBubbleSize val="0"/>
        </c:dLbls>
        <c:gapWidth val="300"/>
        <c:overlap val="-20"/>
        <c:axId val="688921000"/>
        <c:axId val="688919920"/>
      </c:barChart>
      <c:catAx>
        <c:axId val="688921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919920"/>
        <c:crosses val="autoZero"/>
        <c:auto val="1"/>
        <c:lblAlgn val="ctr"/>
        <c:lblOffset val="100"/>
        <c:noMultiLvlLbl val="0"/>
      </c:catAx>
      <c:valAx>
        <c:axId val="688919920"/>
        <c:scaling>
          <c:orientation val="minMax"/>
          <c:max val="2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a:t>
                </a:r>
                <a:r>
                  <a:rPr lang="en-CA" baseline="0"/>
                  <a:t> of Inquiries vs. Applications</a:t>
                </a:r>
                <a:endParaRPr lang="en-C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A"/>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921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all" spc="0" baseline="0">
                <a:solidFill>
                  <a:schemeClr val="tx1">
                    <a:lumMod val="65000"/>
                    <a:lumOff val="35000"/>
                  </a:schemeClr>
                </a:solidFill>
                <a:latin typeface="+mn-lt"/>
                <a:ea typeface="+mn-ea"/>
                <a:cs typeface="+mn-cs"/>
              </a:defRPr>
            </a:pPr>
            <a:r>
              <a:rPr lang="en-US" cap="all" baseline="0"/>
              <a:t>Legal Services - Number of Individual In-Depth Legal Service Interviews Provided</a:t>
            </a:r>
          </a:p>
        </c:rich>
      </c:tx>
      <c:layout>
        <c:manualLayout>
          <c:xMode val="edge"/>
          <c:yMode val="edge"/>
          <c:x val="0.11657129391031716"/>
          <c:y val="1.4006418321718606E-2"/>
        </c:manualLayout>
      </c:layout>
      <c:overlay val="0"/>
      <c:spPr>
        <a:noFill/>
        <a:ln>
          <a:noFill/>
        </a:ln>
        <a:effectLst/>
      </c:spPr>
      <c:txPr>
        <a:bodyPr rot="0" spcFirstLastPara="1" vertOverflow="ellipsis" vert="horz" wrap="square" anchor="ctr" anchorCtr="1"/>
        <a:lstStyle/>
        <a:p>
          <a:pPr>
            <a:defRPr sz="1400" b="0" i="0" u="none" strike="noStrike" kern="1200" cap="all"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4"/>
          <c:order val="0"/>
          <c:tx>
            <c:strRef>
              <c:f>'Legal Services'!$A$6</c:f>
              <c:strCache>
                <c:ptCount val="1"/>
                <c:pt idx="0">
                  <c:v>Yearly Total</c:v>
                </c:pt>
              </c:strCache>
            </c:strRef>
          </c:tx>
          <c:spPr>
            <a:ln w="28575" cap="rnd">
              <a:solidFill>
                <a:srgbClr val="5D7F8D"/>
              </a:solidFill>
              <a:round/>
            </a:ln>
            <a:effectLst/>
          </c:spPr>
          <c:marker>
            <c:symbol val="circle"/>
            <c:size val="5"/>
            <c:spPr>
              <a:solidFill>
                <a:srgbClr val="5D7F8D"/>
              </a:solidFill>
              <a:ln w="9525">
                <a:solidFill>
                  <a:srgbClr val="5D7F8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'Legal Services'!$B$1:$F$1</c:f>
              <c:strCache>
                <c:ptCount val="5"/>
                <c:pt idx="0">
                  <c:v>2020/21</c:v>
                </c:pt>
                <c:pt idx="1">
                  <c:v>2021/22</c:v>
                </c:pt>
                <c:pt idx="2">
                  <c:v>2022/23</c:v>
                </c:pt>
                <c:pt idx="3">
                  <c:v>2023/24</c:v>
                </c:pt>
                <c:pt idx="4">
                  <c:v>2024/25</c:v>
                </c:pt>
              </c:strCache>
              <c:extLst/>
            </c:strRef>
          </c:cat>
          <c:val>
            <c:numRef>
              <c:f>'Legal Services'!$B$6:$F$6</c:f>
              <c:numCache>
                <c:formatCode>General</c:formatCode>
                <c:ptCount val="5"/>
                <c:pt idx="0">
                  <c:v>1930</c:v>
                </c:pt>
                <c:pt idx="1">
                  <c:v>2034</c:v>
                </c:pt>
                <c:pt idx="2">
                  <c:v>1693</c:v>
                </c:pt>
                <c:pt idx="3">
                  <c:v>1676</c:v>
                </c:pt>
                <c:pt idx="4">
                  <c:v>1373</c:v>
                </c:pt>
              </c:numCache>
              <c:extLst/>
            </c:numRef>
          </c:val>
          <c:smooth val="0"/>
          <c:extLst>
            <c:ext xmlns:c16="http://schemas.microsoft.com/office/drawing/2014/chart" uri="{C3380CC4-5D6E-409C-BE32-E72D297353CC}">
              <c16:uniqueId val="{00000001-8DDC-4517-84EB-DF53ECEB4382}"/>
            </c:ext>
          </c:extLst>
        </c:ser>
        <c:dLbls>
          <c:showLegendKey val="0"/>
          <c:showVal val="0"/>
          <c:showCatName val="0"/>
          <c:showSerName val="0"/>
          <c:showPercent val="0"/>
          <c:showBubbleSize val="0"/>
        </c:dLbls>
        <c:marker val="1"/>
        <c:smooth val="0"/>
        <c:axId val="562002680"/>
        <c:axId val="562003760"/>
      </c:lineChart>
      <c:catAx>
        <c:axId val="562002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003760"/>
        <c:crosses val="autoZero"/>
        <c:auto val="1"/>
        <c:lblAlgn val="ctr"/>
        <c:lblOffset val="100"/>
        <c:noMultiLvlLbl val="0"/>
      </c:catAx>
      <c:valAx>
        <c:axId val="5620037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Number of Interviews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002680"/>
        <c:crosses val="autoZero"/>
        <c:crossBetween val="between"/>
        <c:majorUnit val="1000"/>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INDIGENOUS</a:t>
            </a:r>
            <a:r>
              <a:rPr lang="en-US" baseline="0"/>
              <a:t> SERVICES - INTERVIEWS (# OF INDIVIDUALS)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'Indigenous Services'!$A$2</c:f>
              <c:strCache>
                <c:ptCount val="1"/>
                <c:pt idx="0">
                  <c:v>Application Interviews</c:v>
                </c:pt>
              </c:strCache>
            </c:strRef>
          </c:tx>
          <c:spPr>
            <a:solidFill>
              <a:srgbClr val="5D7F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'Indigenous Services'!$B$1:$F$1</c:f>
              <c:strCache>
                <c:ptCount val="5"/>
                <c:pt idx="0">
                  <c:v>2020/21</c:v>
                </c:pt>
                <c:pt idx="1">
                  <c:v>2021/22</c:v>
                </c:pt>
                <c:pt idx="2">
                  <c:v>2022/23</c:v>
                </c:pt>
                <c:pt idx="3">
                  <c:v>2023/24</c:v>
                </c:pt>
                <c:pt idx="4">
                  <c:v>2024/25</c:v>
                </c:pt>
              </c:strCache>
            </c:strRef>
          </c:cat>
          <c:val>
            <c:numRef>
              <c:f>'Indigenous Services'!$B$2:$F$2</c:f>
              <c:numCache>
                <c:formatCode>General</c:formatCode>
                <c:ptCount val="5"/>
                <c:pt idx="0">
                  <c:v>102</c:v>
                </c:pt>
                <c:pt idx="1">
                  <c:v>102</c:v>
                </c:pt>
                <c:pt idx="2">
                  <c:v>66</c:v>
                </c:pt>
                <c:pt idx="3">
                  <c:v>90</c:v>
                </c:pt>
                <c:pt idx="4">
                  <c:v>68</c:v>
                </c:pt>
              </c:numCache>
            </c:numRef>
          </c:val>
          <c:extLst>
            <c:ext xmlns:c16="http://schemas.microsoft.com/office/drawing/2014/chart" uri="{C3380CC4-5D6E-409C-BE32-E72D297353CC}">
              <c16:uniqueId val="{00000000-A79E-4E01-9C5E-5958A0CB785B}"/>
            </c:ext>
          </c:extLst>
        </c:ser>
        <c:ser>
          <c:idx val="1"/>
          <c:order val="1"/>
          <c:tx>
            <c:strRef>
              <c:f>'Indigenous Services'!$A$3</c:f>
              <c:strCache>
                <c:ptCount val="1"/>
                <c:pt idx="0">
                  <c:v>Mediation Interviews</c:v>
                </c:pt>
              </c:strCache>
            </c:strRef>
          </c:tx>
          <c:spPr>
            <a:solidFill>
              <a:srgbClr val="C558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'Indigenous Services'!$B$1:$F$1</c:f>
              <c:strCache>
                <c:ptCount val="5"/>
                <c:pt idx="0">
                  <c:v>2020/21</c:v>
                </c:pt>
                <c:pt idx="1">
                  <c:v>2021/22</c:v>
                </c:pt>
                <c:pt idx="2">
                  <c:v>2022/23</c:v>
                </c:pt>
                <c:pt idx="3">
                  <c:v>2023/24</c:v>
                </c:pt>
                <c:pt idx="4">
                  <c:v>2024/25</c:v>
                </c:pt>
              </c:strCache>
            </c:strRef>
          </c:cat>
          <c:val>
            <c:numRef>
              <c:f>'Indigenous Services'!$B$3:$F$3</c:f>
              <c:numCache>
                <c:formatCode>General</c:formatCode>
                <c:ptCount val="5"/>
                <c:pt idx="0">
                  <c:v>17</c:v>
                </c:pt>
                <c:pt idx="1">
                  <c:v>7</c:v>
                </c:pt>
                <c:pt idx="2">
                  <c:v>14</c:v>
                </c:pt>
                <c:pt idx="3">
                  <c:v>22</c:v>
                </c:pt>
                <c:pt idx="4">
                  <c:v>33</c:v>
                </c:pt>
              </c:numCache>
            </c:numRef>
          </c:val>
          <c:extLst>
            <c:ext xmlns:c16="http://schemas.microsoft.com/office/drawing/2014/chart" uri="{C3380CC4-5D6E-409C-BE32-E72D297353CC}">
              <c16:uniqueId val="{00000001-A79E-4E01-9C5E-5958A0CB785B}"/>
            </c:ext>
          </c:extLst>
        </c:ser>
        <c:ser>
          <c:idx val="2"/>
          <c:order val="2"/>
          <c:tx>
            <c:strRef>
              <c:f>'Indigenous Services'!$A$4</c:f>
              <c:strCache>
                <c:ptCount val="1"/>
                <c:pt idx="0">
                  <c:v>Hearing Interviews</c:v>
                </c:pt>
              </c:strCache>
            </c:strRef>
          </c:tx>
          <c:spPr>
            <a:solidFill>
              <a:srgbClr val="F2C7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'Indigenous Services'!$B$1:$F$1</c:f>
              <c:strCache>
                <c:ptCount val="5"/>
                <c:pt idx="0">
                  <c:v>2020/21</c:v>
                </c:pt>
                <c:pt idx="1">
                  <c:v>2021/22</c:v>
                </c:pt>
                <c:pt idx="2">
                  <c:v>2022/23</c:v>
                </c:pt>
                <c:pt idx="3">
                  <c:v>2023/24</c:v>
                </c:pt>
                <c:pt idx="4">
                  <c:v>2024/25</c:v>
                </c:pt>
              </c:strCache>
            </c:strRef>
          </c:cat>
          <c:val>
            <c:numRef>
              <c:f>'Indigenous Services'!$B$4:$F$4</c:f>
              <c:numCache>
                <c:formatCode>General</c:formatCode>
                <c:ptCount val="5"/>
                <c:pt idx="0">
                  <c:v>2</c:v>
                </c:pt>
                <c:pt idx="1">
                  <c:v>2</c:v>
                </c:pt>
                <c:pt idx="2">
                  <c:v>3</c:v>
                </c:pt>
                <c:pt idx="3">
                  <c:v>6</c:v>
                </c:pt>
                <c:pt idx="4">
                  <c:v>6</c:v>
                </c:pt>
              </c:numCache>
            </c:numRef>
          </c:val>
          <c:extLst>
            <c:ext xmlns:c16="http://schemas.microsoft.com/office/drawing/2014/chart" uri="{C3380CC4-5D6E-409C-BE32-E72D297353CC}">
              <c16:uniqueId val="{00000002-A79E-4E01-9C5E-5958A0CB785B}"/>
            </c:ext>
          </c:extLst>
        </c:ser>
        <c:dLbls>
          <c:dLblPos val="outEnd"/>
          <c:showLegendKey val="0"/>
          <c:showVal val="1"/>
          <c:showCatName val="0"/>
          <c:showSerName val="0"/>
          <c:showPercent val="0"/>
          <c:showBubbleSize val="0"/>
        </c:dLbls>
        <c:gapWidth val="63"/>
        <c:overlap val="-27"/>
        <c:axId val="562078280"/>
        <c:axId val="562098800"/>
      </c:barChart>
      <c:catAx>
        <c:axId val="562078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098800"/>
        <c:crosses val="autoZero"/>
        <c:auto val="1"/>
        <c:lblAlgn val="ctr"/>
        <c:lblOffset val="100"/>
        <c:noMultiLvlLbl val="0"/>
      </c:catAx>
      <c:valAx>
        <c:axId val="562098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Number of</a:t>
                </a:r>
                <a:r>
                  <a:rPr lang="en-CA" baseline="0"/>
                  <a:t> Interviews</a:t>
                </a:r>
                <a:endParaRPr lang="en-C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078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all" spc="0" baseline="0">
                <a:solidFill>
                  <a:schemeClr val="bg2">
                    <a:lumMod val="50000"/>
                  </a:schemeClr>
                </a:solidFill>
                <a:latin typeface="+mn-lt"/>
                <a:ea typeface="+mn-ea"/>
                <a:cs typeface="+mn-cs"/>
              </a:defRPr>
            </a:pPr>
            <a:r>
              <a:rPr lang="en-US" cap="all" baseline="0">
                <a:solidFill>
                  <a:schemeClr val="bg2">
                    <a:lumMod val="50000"/>
                  </a:schemeClr>
                </a:solidFill>
              </a:rPr>
              <a:t>Mediations Attended</a:t>
            </a:r>
          </a:p>
        </c:rich>
      </c:tx>
      <c:overlay val="0"/>
      <c:spPr>
        <a:noFill/>
        <a:ln>
          <a:noFill/>
        </a:ln>
        <a:effectLst/>
      </c:spPr>
      <c:txPr>
        <a:bodyPr rot="0" spcFirstLastPara="1" vertOverflow="ellipsis" vert="horz" wrap="square" anchor="ctr" anchorCtr="1"/>
        <a:lstStyle/>
        <a:p>
          <a:pPr>
            <a:defRPr sz="1400" b="0" i="0" u="none" strike="noStrike" kern="1200" cap="all" spc="0" baseline="0">
              <a:solidFill>
                <a:schemeClr val="bg2">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'Mediations Attended'!$A$2</c:f>
              <c:strCache>
                <c:ptCount val="1"/>
                <c:pt idx="0">
                  <c:v>Mediations Attended</c:v>
                </c:pt>
              </c:strCache>
            </c:strRef>
          </c:tx>
          <c:spPr>
            <a:solidFill>
              <a:srgbClr val="5D7F8D"/>
            </a:solidFill>
            <a:ln>
              <a:noFill/>
            </a:ln>
            <a:effectLst/>
          </c:spPr>
          <c:invertIfNegative val="0"/>
          <c:dLbls>
            <c:dLbl>
              <c:idx val="4"/>
              <c:tx>
                <c:rich>
                  <a:bodyPr/>
                  <a:lstStyle/>
                  <a:p>
                    <a:r>
                      <a:rPr lang="en-US"/>
                      <a:t>249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1B8-47B6-ABA6-5B5BD893C3B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'Mediations Attended'!$B$1:$F$1</c:f>
              <c:strCache>
                <c:ptCount val="5"/>
                <c:pt idx="0">
                  <c:v>2020/21</c:v>
                </c:pt>
                <c:pt idx="1">
                  <c:v>2021/22</c:v>
                </c:pt>
                <c:pt idx="2">
                  <c:v>2022/23</c:v>
                </c:pt>
                <c:pt idx="3">
                  <c:v>2023/24</c:v>
                </c:pt>
                <c:pt idx="4">
                  <c:v>2024/25</c:v>
                </c:pt>
              </c:strCache>
            </c:strRef>
          </c:cat>
          <c:val>
            <c:numRef>
              <c:f>'Mediations Attended'!$B$2:$F$2</c:f>
              <c:numCache>
                <c:formatCode>General</c:formatCode>
                <c:ptCount val="5"/>
                <c:pt idx="0">
                  <c:v>281</c:v>
                </c:pt>
                <c:pt idx="1">
                  <c:v>181</c:v>
                </c:pt>
                <c:pt idx="2">
                  <c:v>236</c:v>
                </c:pt>
                <c:pt idx="3">
                  <c:v>298</c:v>
                </c:pt>
                <c:pt idx="4">
                  <c:v>249</c:v>
                </c:pt>
              </c:numCache>
            </c:numRef>
          </c:val>
          <c:extLst>
            <c:ext xmlns:c16="http://schemas.microsoft.com/office/drawing/2014/chart" uri="{C3380CC4-5D6E-409C-BE32-E72D297353CC}">
              <c16:uniqueId val="{00000000-B561-4FFE-82C9-5B28C293F83F}"/>
            </c:ext>
          </c:extLst>
        </c:ser>
        <c:dLbls>
          <c:showLegendKey val="0"/>
          <c:showVal val="0"/>
          <c:showCatName val="0"/>
          <c:showSerName val="0"/>
          <c:showPercent val="0"/>
          <c:showBubbleSize val="0"/>
        </c:dLbls>
        <c:gapWidth val="150"/>
        <c:overlap val="-27"/>
        <c:axId val="562080080"/>
        <c:axId val="562082960"/>
      </c:barChart>
      <c:lineChart>
        <c:grouping val="stacked"/>
        <c:varyColors val="0"/>
        <c:ser>
          <c:idx val="1"/>
          <c:order val="1"/>
          <c:tx>
            <c:strRef>
              <c:f>'Mediations Attended'!$A$3</c:f>
              <c:strCache>
                <c:ptCount val="1"/>
                <c:pt idx="0">
                  <c:v>5 Year Average (2020/21 to 2024/25)</c:v>
                </c:pt>
              </c:strCache>
            </c:strRef>
          </c:tx>
          <c:spPr>
            <a:ln w="28575" cap="rnd">
              <a:solidFill>
                <a:srgbClr val="C5583A"/>
              </a:solidFill>
              <a:round/>
            </a:ln>
            <a:effectLst/>
          </c:spPr>
          <c:marker>
            <c:symbol val="none"/>
          </c:marker>
          <c:cat>
            <c:strRef>
              <c:f>'Mediations Attended'!$B$1:$F$1</c:f>
              <c:strCache>
                <c:ptCount val="5"/>
                <c:pt idx="0">
                  <c:v>2020/21</c:v>
                </c:pt>
                <c:pt idx="1">
                  <c:v>2021/22</c:v>
                </c:pt>
                <c:pt idx="2">
                  <c:v>2022/23</c:v>
                </c:pt>
                <c:pt idx="3">
                  <c:v>2023/24</c:v>
                </c:pt>
                <c:pt idx="4">
                  <c:v>2024/25</c:v>
                </c:pt>
              </c:strCache>
            </c:strRef>
          </c:cat>
          <c:val>
            <c:numRef>
              <c:f>'Mediations Attended'!$B$3:$F$3</c:f>
              <c:numCache>
                <c:formatCode>General</c:formatCode>
                <c:ptCount val="5"/>
                <c:pt idx="0">
                  <c:v>250</c:v>
                </c:pt>
                <c:pt idx="1">
                  <c:v>250</c:v>
                </c:pt>
                <c:pt idx="2">
                  <c:v>250</c:v>
                </c:pt>
                <c:pt idx="3">
                  <c:v>250</c:v>
                </c:pt>
                <c:pt idx="4">
                  <c:v>250</c:v>
                </c:pt>
              </c:numCache>
            </c:numRef>
          </c:val>
          <c:smooth val="0"/>
          <c:extLst>
            <c:ext xmlns:c16="http://schemas.microsoft.com/office/drawing/2014/chart" uri="{C3380CC4-5D6E-409C-BE32-E72D297353CC}">
              <c16:uniqueId val="{00000001-B561-4FFE-82C9-5B28C293F83F}"/>
            </c:ext>
          </c:extLst>
        </c:ser>
        <c:dLbls>
          <c:showLegendKey val="0"/>
          <c:showVal val="0"/>
          <c:showCatName val="0"/>
          <c:showSerName val="0"/>
          <c:showPercent val="0"/>
          <c:showBubbleSize val="0"/>
        </c:dLbls>
        <c:marker val="1"/>
        <c:smooth val="0"/>
        <c:axId val="562080080"/>
        <c:axId val="562082960"/>
      </c:lineChart>
      <c:catAx>
        <c:axId val="56208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082960"/>
        <c:crosses val="autoZero"/>
        <c:auto val="1"/>
        <c:lblAlgn val="ctr"/>
        <c:lblOffset val="100"/>
        <c:noMultiLvlLbl val="0"/>
      </c:catAx>
      <c:valAx>
        <c:axId val="56208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Mediations</a:t>
                </a:r>
                <a:r>
                  <a:rPr lang="en-CA" baseline="0"/>
                  <a:t> Attended</a:t>
                </a:r>
                <a:endParaRPr lang="en-C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08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HRTO</a:t>
            </a:r>
            <a:r>
              <a:rPr lang="en-US" baseline="0"/>
              <a:t> HEARINGS ATTENDED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'Other Hearings Attended'!$A$2</c:f>
              <c:strCache>
                <c:ptCount val="1"/>
                <c:pt idx="0">
                  <c:v>Pre-Merit and Post-Merit Hearings Attended</c:v>
                </c:pt>
              </c:strCache>
            </c:strRef>
          </c:tx>
          <c:spPr>
            <a:solidFill>
              <a:srgbClr val="5D7F8D"/>
            </a:solidFill>
            <a:ln>
              <a:noFill/>
            </a:ln>
            <a:effectLst/>
          </c:spPr>
          <c:invertIfNegative val="0"/>
          <c:dLbls>
            <c:dLbl>
              <c:idx val="1"/>
              <c:layout>
                <c:manualLayout>
                  <c:x val="7.3260073260073263E-2"/>
                  <c:y val="-8.429926238145339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A2-485D-AC23-CB64278BB13C}"/>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Hearings Attended'!$B$1:$F$1</c:f>
              <c:strCache>
                <c:ptCount val="5"/>
                <c:pt idx="0">
                  <c:v>2020/21</c:v>
                </c:pt>
                <c:pt idx="1">
                  <c:v>2021/22</c:v>
                </c:pt>
                <c:pt idx="2">
                  <c:v>2022/23</c:v>
                </c:pt>
                <c:pt idx="3">
                  <c:v>2023/24</c:v>
                </c:pt>
                <c:pt idx="4">
                  <c:v>2024/25</c:v>
                </c:pt>
              </c:strCache>
            </c:strRef>
          </c:cat>
          <c:val>
            <c:numRef>
              <c:f>'Other Hearings Attended'!$B$2:$F$2</c:f>
              <c:numCache>
                <c:formatCode>General</c:formatCode>
                <c:ptCount val="5"/>
                <c:pt idx="0">
                  <c:v>8</c:v>
                </c:pt>
                <c:pt idx="1">
                  <c:v>6</c:v>
                </c:pt>
                <c:pt idx="2">
                  <c:v>84</c:v>
                </c:pt>
                <c:pt idx="3">
                  <c:v>64</c:v>
                </c:pt>
                <c:pt idx="4">
                  <c:v>38</c:v>
                </c:pt>
              </c:numCache>
            </c:numRef>
          </c:val>
          <c:extLst>
            <c:ext xmlns:c16="http://schemas.microsoft.com/office/drawing/2014/chart" uri="{C3380CC4-5D6E-409C-BE32-E72D297353CC}">
              <c16:uniqueId val="{00000000-E44C-4BD2-A22A-193170F73FB1}"/>
            </c:ext>
          </c:extLst>
        </c:ser>
        <c:ser>
          <c:idx val="1"/>
          <c:order val="1"/>
          <c:tx>
            <c:strRef>
              <c:f>'Other Hearings Attended'!$A$3</c:f>
              <c:strCache>
                <c:ptCount val="1"/>
                <c:pt idx="0">
                  <c:v>Merit Hearings Attended</c:v>
                </c:pt>
              </c:strCache>
            </c:strRef>
          </c:tx>
          <c:spPr>
            <a:solidFill>
              <a:srgbClr val="C5583A"/>
            </a:solidFill>
            <a:ln>
              <a:noFill/>
            </a:ln>
            <a:effectLst/>
          </c:spPr>
          <c:invertIfNegative val="0"/>
          <c:dLbls>
            <c:dLbl>
              <c:idx val="0"/>
              <c:layout>
                <c:manualLayout>
                  <c:x val="-2.6861716553185041E-17"/>
                  <c:y val="-5.850667507446711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A2-485D-AC23-CB64278BB13C}"/>
                </c:ext>
              </c:extLst>
            </c:dLbl>
            <c:dLbl>
              <c:idx val="2"/>
              <c:layout>
                <c:manualLayout>
                  <c:x val="0"/>
                  <c:y val="-6.894318926677896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A2-485D-AC23-CB64278BB13C}"/>
                </c:ext>
              </c:extLst>
            </c:dLbl>
            <c:dLbl>
              <c:idx val="3"/>
              <c:layout>
                <c:manualLayout>
                  <c:x val="-1.0744686621274016E-16"/>
                  <c:y val="-5.85740481070003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A2-485D-AC23-CB64278BB13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Hearings Attended'!$B$1:$F$1</c:f>
              <c:strCache>
                <c:ptCount val="5"/>
                <c:pt idx="0">
                  <c:v>2020/21</c:v>
                </c:pt>
                <c:pt idx="1">
                  <c:v>2021/22</c:v>
                </c:pt>
                <c:pt idx="2">
                  <c:v>2022/23</c:v>
                </c:pt>
                <c:pt idx="3">
                  <c:v>2023/24</c:v>
                </c:pt>
                <c:pt idx="4">
                  <c:v>2024/25</c:v>
                </c:pt>
              </c:strCache>
            </c:strRef>
          </c:cat>
          <c:val>
            <c:numRef>
              <c:f>'Other Hearings Attended'!$B$3:$F$3</c:f>
              <c:numCache>
                <c:formatCode>General</c:formatCode>
                <c:ptCount val="5"/>
                <c:pt idx="0">
                  <c:v>14</c:v>
                </c:pt>
                <c:pt idx="1">
                  <c:v>2</c:v>
                </c:pt>
                <c:pt idx="2">
                  <c:v>17</c:v>
                </c:pt>
                <c:pt idx="3">
                  <c:v>12</c:v>
                </c:pt>
                <c:pt idx="4">
                  <c:v>6</c:v>
                </c:pt>
              </c:numCache>
            </c:numRef>
          </c:val>
          <c:extLst>
            <c:ext xmlns:c16="http://schemas.microsoft.com/office/drawing/2014/chart" uri="{C3380CC4-5D6E-409C-BE32-E72D297353CC}">
              <c16:uniqueId val="{00000001-E44C-4BD2-A22A-193170F73FB1}"/>
            </c:ext>
          </c:extLst>
        </c:ser>
        <c:dLbls>
          <c:showLegendKey val="0"/>
          <c:showVal val="0"/>
          <c:showCatName val="0"/>
          <c:showSerName val="0"/>
          <c:showPercent val="0"/>
          <c:showBubbleSize val="0"/>
        </c:dLbls>
        <c:gapWidth val="150"/>
        <c:overlap val="100"/>
        <c:axId val="660050360"/>
        <c:axId val="660052520"/>
      </c:barChart>
      <c:lineChart>
        <c:grouping val="standard"/>
        <c:varyColors val="0"/>
        <c:ser>
          <c:idx val="2"/>
          <c:order val="2"/>
          <c:tx>
            <c:strRef>
              <c:f>'Other Hearings Attended'!$A$4</c:f>
              <c:strCache>
                <c:ptCount val="1"/>
                <c:pt idx="0">
                  <c:v>5 Year Average </c:v>
                </c:pt>
              </c:strCache>
            </c:strRef>
          </c:tx>
          <c:spPr>
            <a:ln w="28575" cap="rnd">
              <a:solidFill>
                <a:srgbClr val="F2C777"/>
              </a:solidFill>
              <a:round/>
            </a:ln>
            <a:effectLst/>
          </c:spPr>
          <c:marker>
            <c:symbol val="none"/>
          </c:marker>
          <c:cat>
            <c:strRef>
              <c:f>'Other Hearings Attended'!$B$1:$F$1</c:f>
              <c:strCache>
                <c:ptCount val="5"/>
                <c:pt idx="0">
                  <c:v>2020/21</c:v>
                </c:pt>
                <c:pt idx="1">
                  <c:v>2021/22</c:v>
                </c:pt>
                <c:pt idx="2">
                  <c:v>2022/23</c:v>
                </c:pt>
                <c:pt idx="3">
                  <c:v>2023/24</c:v>
                </c:pt>
                <c:pt idx="4">
                  <c:v>2024/25</c:v>
                </c:pt>
              </c:strCache>
            </c:strRef>
          </c:cat>
          <c:val>
            <c:numRef>
              <c:f>'Other Hearings Attended'!$B$4:$F$4</c:f>
              <c:numCache>
                <c:formatCode>General</c:formatCode>
                <c:ptCount val="5"/>
                <c:pt idx="0">
                  <c:v>50</c:v>
                </c:pt>
                <c:pt idx="1">
                  <c:v>50</c:v>
                </c:pt>
                <c:pt idx="2">
                  <c:v>50</c:v>
                </c:pt>
                <c:pt idx="3">
                  <c:v>50</c:v>
                </c:pt>
                <c:pt idx="4">
                  <c:v>50</c:v>
                </c:pt>
              </c:numCache>
            </c:numRef>
          </c:val>
          <c:smooth val="0"/>
          <c:extLst>
            <c:ext xmlns:c16="http://schemas.microsoft.com/office/drawing/2014/chart" uri="{C3380CC4-5D6E-409C-BE32-E72D297353CC}">
              <c16:uniqueId val="{00000002-E44C-4BD2-A22A-193170F73FB1}"/>
            </c:ext>
          </c:extLst>
        </c:ser>
        <c:dLbls>
          <c:showLegendKey val="0"/>
          <c:showVal val="0"/>
          <c:showCatName val="0"/>
          <c:showSerName val="0"/>
          <c:showPercent val="0"/>
          <c:showBubbleSize val="0"/>
        </c:dLbls>
        <c:marker val="1"/>
        <c:smooth val="0"/>
        <c:axId val="660050360"/>
        <c:axId val="660052520"/>
      </c:lineChart>
      <c:catAx>
        <c:axId val="660050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052520"/>
        <c:crosses val="autoZero"/>
        <c:auto val="1"/>
        <c:lblAlgn val="ctr"/>
        <c:lblOffset val="100"/>
        <c:noMultiLvlLbl val="0"/>
      </c:catAx>
      <c:valAx>
        <c:axId val="660052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Hearings Attended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050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E8E8E8"/>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all" spc="0" baseline="0">
                <a:solidFill>
                  <a:schemeClr val="tx1">
                    <a:lumMod val="65000"/>
                    <a:lumOff val="35000"/>
                  </a:schemeClr>
                </a:solidFill>
                <a:latin typeface="+mn-lt"/>
                <a:ea typeface="+mn-ea"/>
                <a:cs typeface="+mn-cs"/>
              </a:defRPr>
            </a:pPr>
            <a:r>
              <a:rPr lang="en-US" cap="all" baseline="0"/>
              <a:t>Number of Settlements</a:t>
            </a:r>
          </a:p>
        </c:rich>
      </c:tx>
      <c:overlay val="0"/>
      <c:spPr>
        <a:noFill/>
        <a:ln>
          <a:noFill/>
        </a:ln>
        <a:effectLst/>
      </c:spPr>
      <c:txPr>
        <a:bodyPr rot="0" spcFirstLastPara="1" vertOverflow="ellipsis" vert="horz" wrap="square" anchor="ctr" anchorCtr="1"/>
        <a:lstStyle/>
        <a:p>
          <a:pPr>
            <a:defRPr sz="1400" b="0" i="0" u="none" strike="noStrike" kern="1200" cap="all"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'Number of Settlements'!$A$2</c:f>
              <c:strCache>
                <c:ptCount val="1"/>
                <c:pt idx="0">
                  <c:v>Number of Settlements Achieved</c:v>
                </c:pt>
              </c:strCache>
            </c:strRef>
          </c:tx>
          <c:spPr>
            <a:solidFill>
              <a:srgbClr val="5D7F8D"/>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D3-425C-BDA1-03B427C1ECF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D3-425C-BDA1-03B427C1ECF6}"/>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D3-425C-BDA1-03B427C1ECF6}"/>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D3-425C-BDA1-03B427C1ECF6}"/>
                </c:ext>
              </c:extLst>
            </c:dLbl>
            <c:dLbl>
              <c:idx val="4"/>
              <c:layout>
                <c:manualLayout>
                  <c:x val="2.7777777777777779E-3"/>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D3-425C-BDA1-03B427C1ECF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'Number of Settlements'!$B$1:$F$1</c:f>
              <c:strCache>
                <c:ptCount val="5"/>
                <c:pt idx="0">
                  <c:v>2020/21</c:v>
                </c:pt>
                <c:pt idx="1">
                  <c:v>2021/22</c:v>
                </c:pt>
                <c:pt idx="2">
                  <c:v>2022/23</c:v>
                </c:pt>
                <c:pt idx="3">
                  <c:v>2023/24</c:v>
                </c:pt>
                <c:pt idx="4">
                  <c:v>2024/25</c:v>
                </c:pt>
              </c:strCache>
            </c:strRef>
          </c:cat>
          <c:val>
            <c:numRef>
              <c:f>'Number of Settlements'!$B$2:$F$2</c:f>
              <c:numCache>
                <c:formatCode>General</c:formatCode>
                <c:ptCount val="5"/>
                <c:pt idx="0">
                  <c:v>279</c:v>
                </c:pt>
                <c:pt idx="1">
                  <c:v>180</c:v>
                </c:pt>
                <c:pt idx="2">
                  <c:v>242</c:v>
                </c:pt>
                <c:pt idx="3">
                  <c:v>220</c:v>
                </c:pt>
                <c:pt idx="4">
                  <c:v>204</c:v>
                </c:pt>
              </c:numCache>
            </c:numRef>
          </c:val>
          <c:extLst>
            <c:ext xmlns:c16="http://schemas.microsoft.com/office/drawing/2014/chart" uri="{C3380CC4-5D6E-409C-BE32-E72D297353CC}">
              <c16:uniqueId val="{00000005-99D3-425C-BDA1-03B427C1ECF6}"/>
            </c:ext>
          </c:extLst>
        </c:ser>
        <c:dLbls>
          <c:showLegendKey val="0"/>
          <c:showVal val="0"/>
          <c:showCatName val="0"/>
          <c:showSerName val="0"/>
          <c:showPercent val="0"/>
          <c:showBubbleSize val="0"/>
        </c:dLbls>
        <c:gapWidth val="150"/>
        <c:overlap val="100"/>
        <c:axId val="562079000"/>
        <c:axId val="562079360"/>
      </c:barChart>
      <c:lineChart>
        <c:grouping val="standard"/>
        <c:varyColors val="0"/>
        <c:ser>
          <c:idx val="1"/>
          <c:order val="1"/>
          <c:tx>
            <c:strRef>
              <c:f>'Number of Settlements'!$A$3</c:f>
              <c:strCache>
                <c:ptCount val="1"/>
                <c:pt idx="0">
                  <c:v>5 Year Average</c:v>
                </c:pt>
              </c:strCache>
            </c:strRef>
          </c:tx>
          <c:spPr>
            <a:ln w="28575" cap="rnd">
              <a:solidFill>
                <a:srgbClr val="C5583A"/>
              </a:solidFill>
              <a:round/>
            </a:ln>
            <a:effectLst/>
          </c:spPr>
          <c:marker>
            <c:symbol val="none"/>
          </c:marker>
          <c:cat>
            <c:strRef>
              <c:f>'Number of Settlements'!$B$1:$F$1</c:f>
              <c:strCache>
                <c:ptCount val="5"/>
                <c:pt idx="0">
                  <c:v>2020/21</c:v>
                </c:pt>
                <c:pt idx="1">
                  <c:v>2021/22</c:v>
                </c:pt>
                <c:pt idx="2">
                  <c:v>2022/23</c:v>
                </c:pt>
                <c:pt idx="3">
                  <c:v>2023/24</c:v>
                </c:pt>
                <c:pt idx="4">
                  <c:v>2024/25</c:v>
                </c:pt>
              </c:strCache>
            </c:strRef>
          </c:cat>
          <c:val>
            <c:numRef>
              <c:f>'Number of Settlements'!$B$3:$F$3</c:f>
              <c:numCache>
                <c:formatCode>General</c:formatCode>
                <c:ptCount val="5"/>
                <c:pt idx="0">
                  <c:v>225</c:v>
                </c:pt>
                <c:pt idx="1">
                  <c:v>225</c:v>
                </c:pt>
                <c:pt idx="2">
                  <c:v>225</c:v>
                </c:pt>
                <c:pt idx="3">
                  <c:v>225</c:v>
                </c:pt>
                <c:pt idx="4">
                  <c:v>225</c:v>
                </c:pt>
              </c:numCache>
            </c:numRef>
          </c:val>
          <c:smooth val="0"/>
          <c:extLst>
            <c:ext xmlns:c16="http://schemas.microsoft.com/office/drawing/2014/chart" uri="{C3380CC4-5D6E-409C-BE32-E72D297353CC}">
              <c16:uniqueId val="{00000006-99D3-425C-BDA1-03B427C1ECF6}"/>
            </c:ext>
          </c:extLst>
        </c:ser>
        <c:dLbls>
          <c:showLegendKey val="0"/>
          <c:showVal val="0"/>
          <c:showCatName val="0"/>
          <c:showSerName val="0"/>
          <c:showPercent val="0"/>
          <c:showBubbleSize val="0"/>
        </c:dLbls>
        <c:marker val="1"/>
        <c:smooth val="0"/>
        <c:axId val="562079000"/>
        <c:axId val="562079360"/>
      </c:lineChart>
      <c:catAx>
        <c:axId val="562079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079360"/>
        <c:crosses val="autoZero"/>
        <c:auto val="1"/>
        <c:lblAlgn val="ctr"/>
        <c:lblOffset val="100"/>
        <c:noMultiLvlLbl val="0"/>
      </c:catAx>
      <c:valAx>
        <c:axId val="562079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Number</a:t>
                </a:r>
                <a:r>
                  <a:rPr lang="en-CA" baseline="0"/>
                  <a:t> of Settlements</a:t>
                </a:r>
                <a:endParaRPr lang="en-C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079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
            </a:r>
            <a:r>
              <a:rPr lang="en-US" baseline="0"/>
              <a:t> OF </a:t>
            </a:r>
            <a:r>
              <a:rPr lang="en-US"/>
              <a:t>SETTLEMENTS </a:t>
            </a:r>
            <a:r>
              <a:rPr lang="en-US" baseline="0"/>
              <a:t> </a:t>
            </a:r>
            <a:r>
              <a:rPr lang="en-US"/>
              <a:t>(PRE-MEDIATION AND</a:t>
            </a:r>
            <a:r>
              <a:rPr lang="en-US" baseline="0"/>
              <a:t> </a:t>
            </a:r>
            <a:r>
              <a:rPr lang="en-US"/>
              <a:t>MEDIATION)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'Settlements - Pre-Med and Med'!$A$2</c:f>
              <c:strCache>
                <c:ptCount val="1"/>
                <c:pt idx="0">
                  <c:v>Settlements (Pre-Mediation and Mediation) </c:v>
                </c:pt>
              </c:strCache>
            </c:strRef>
          </c:tx>
          <c:spPr>
            <a:solidFill>
              <a:srgbClr val="5D7F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'Settlements - Pre-Med and Med'!$B$1:$C$1</c:f>
              <c:strCache>
                <c:ptCount val="2"/>
                <c:pt idx="0">
                  <c:v>2021/22 to 2023/24 (3 Year Avg.)</c:v>
                </c:pt>
                <c:pt idx="1">
                  <c:v>2024/25</c:v>
                </c:pt>
              </c:strCache>
            </c:strRef>
          </c:cat>
          <c:val>
            <c:numRef>
              <c:f>'Settlements - Pre-Med and Med'!$B$2:$C$2</c:f>
              <c:numCache>
                <c:formatCode>General</c:formatCode>
                <c:ptCount val="2"/>
                <c:pt idx="0">
                  <c:v>159</c:v>
                </c:pt>
                <c:pt idx="1">
                  <c:v>172</c:v>
                </c:pt>
              </c:numCache>
            </c:numRef>
          </c:val>
          <c:extLst>
            <c:ext xmlns:c16="http://schemas.microsoft.com/office/drawing/2014/chart" uri="{C3380CC4-5D6E-409C-BE32-E72D297353CC}">
              <c16:uniqueId val="{00000000-E1E6-4A39-8F3E-6A1876043F99}"/>
            </c:ext>
          </c:extLst>
        </c:ser>
        <c:dLbls>
          <c:showLegendKey val="0"/>
          <c:showVal val="0"/>
          <c:showCatName val="0"/>
          <c:showSerName val="0"/>
          <c:showPercent val="0"/>
          <c:showBubbleSize val="0"/>
        </c:dLbls>
        <c:gapWidth val="300"/>
        <c:overlap val="-27"/>
        <c:axId val="381020680"/>
        <c:axId val="381024280"/>
      </c:barChart>
      <c:catAx>
        <c:axId val="381020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024280"/>
        <c:crosses val="autoZero"/>
        <c:auto val="1"/>
        <c:lblAlgn val="ctr"/>
        <c:lblOffset val="100"/>
        <c:noMultiLvlLbl val="0"/>
      </c:catAx>
      <c:valAx>
        <c:axId val="381024280"/>
        <c:scaling>
          <c:orientation val="minMax"/>
          <c:min val="1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Number</a:t>
                </a:r>
                <a:r>
                  <a:rPr lang="en-CA" baseline="0"/>
                  <a:t> of Settlements</a:t>
                </a:r>
                <a:endParaRPr lang="en-C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020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all" spc="0" baseline="0">
                <a:solidFill>
                  <a:schemeClr val="tx1">
                    <a:lumMod val="65000"/>
                    <a:lumOff val="35000"/>
                  </a:schemeClr>
                </a:solidFill>
                <a:latin typeface="+mn-lt"/>
                <a:ea typeface="+mn-ea"/>
                <a:cs typeface="+mn-cs"/>
              </a:defRPr>
            </a:pPr>
            <a:r>
              <a:rPr lang="en-CA" sz="1400" b="0" i="0" u="none" strike="noStrike" cap="all" baseline="0">
                <a:effectLst/>
              </a:rPr>
              <a:t>Media Year over Year</a:t>
            </a:r>
            <a:endParaRPr lang="en-CA" cap="all" baseline="0"/>
          </a:p>
        </c:rich>
      </c:tx>
      <c:overlay val="0"/>
      <c:spPr>
        <a:noFill/>
        <a:ln>
          <a:noFill/>
        </a:ln>
        <a:effectLst/>
      </c:spPr>
      <c:txPr>
        <a:bodyPr rot="0" spcFirstLastPara="1" vertOverflow="ellipsis" vert="horz" wrap="square" anchor="ctr" anchorCtr="1"/>
        <a:lstStyle/>
        <a:p>
          <a:pPr>
            <a:defRPr sz="1400" b="0" i="0" u="none" strike="noStrike" kern="1200" cap="all" spc="0" baseline="0">
              <a:solidFill>
                <a:schemeClr val="tx1">
                  <a:lumMod val="65000"/>
                  <a:lumOff val="35000"/>
                </a:schemeClr>
              </a:solidFill>
              <a:latin typeface="+mn-lt"/>
              <a:ea typeface="+mn-ea"/>
              <a:cs typeface="+mn-cs"/>
            </a:defRPr>
          </a:pPr>
          <a:endParaRPr lang="en-CA"/>
        </a:p>
      </c:txPr>
    </c:title>
    <c:autoTitleDeleted val="0"/>
    <c:plotArea>
      <c:layout/>
      <c:barChart>
        <c:barDir val="col"/>
        <c:grouping val="stacked"/>
        <c:varyColors val="0"/>
        <c:ser>
          <c:idx val="0"/>
          <c:order val="0"/>
          <c:tx>
            <c:strRef>
              <c:f>Sheet1!$A$45</c:f>
              <c:strCache>
                <c:ptCount val="1"/>
                <c:pt idx="0">
                  <c:v>Named mentions</c:v>
                </c:pt>
              </c:strCache>
            </c:strRef>
          </c:tx>
          <c:spPr>
            <a:solidFill>
              <a:srgbClr val="5D7F8D"/>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Sheet1!$B$44:$C$44</c:f>
              <c:strCache>
                <c:ptCount val="2"/>
                <c:pt idx="0">
                  <c:v>2023-2024</c:v>
                </c:pt>
                <c:pt idx="1">
                  <c:v>2024-2025</c:v>
                </c:pt>
              </c:strCache>
            </c:strRef>
          </c:cat>
          <c:val>
            <c:numRef>
              <c:f>Sheet1!$B$45:$C$45</c:f>
              <c:numCache>
                <c:formatCode>General</c:formatCode>
                <c:ptCount val="2"/>
                <c:pt idx="0">
                  <c:v>4</c:v>
                </c:pt>
                <c:pt idx="1">
                  <c:v>16</c:v>
                </c:pt>
              </c:numCache>
            </c:numRef>
          </c:val>
          <c:extLst>
            <c:ext xmlns:c16="http://schemas.microsoft.com/office/drawing/2014/chart" uri="{C3380CC4-5D6E-409C-BE32-E72D297353CC}">
              <c16:uniqueId val="{00000000-AE84-44F3-B3E5-D5D9DAA735EF}"/>
            </c:ext>
          </c:extLst>
        </c:ser>
        <c:ser>
          <c:idx val="1"/>
          <c:order val="1"/>
          <c:tx>
            <c:strRef>
              <c:f>Sheet1!$A$46</c:f>
              <c:strCache>
                <c:ptCount val="1"/>
                <c:pt idx="0">
                  <c:v>General coverage</c:v>
                </c:pt>
              </c:strCache>
            </c:strRef>
          </c:tx>
          <c:spPr>
            <a:solidFill>
              <a:srgbClr val="C5583A"/>
            </a:solidFill>
            <a:ln>
              <a:noFill/>
            </a:ln>
            <a:effectLst/>
          </c:spPr>
          <c:invertIfNegative val="0"/>
          <c:dLbls>
            <c:dLbl>
              <c:idx val="0"/>
              <c:layout>
                <c:manualLayout>
                  <c:x val="-2.7777777777777779E-3"/>
                  <c:y val="-8.79629629629630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84-44F3-B3E5-D5D9DAA735EF}"/>
                </c:ext>
              </c:extLst>
            </c:dLbl>
            <c:dLbl>
              <c:idx val="1"/>
              <c:layout>
                <c:manualLayout>
                  <c:x val="2.777777777777676E-3"/>
                  <c:y val="-4.629629629629631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84-44F3-B3E5-D5D9DAA735E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Sheet1!$B$44:$C$44</c:f>
              <c:strCache>
                <c:ptCount val="2"/>
                <c:pt idx="0">
                  <c:v>2023-2024</c:v>
                </c:pt>
                <c:pt idx="1">
                  <c:v>2024-2025</c:v>
                </c:pt>
              </c:strCache>
            </c:strRef>
          </c:cat>
          <c:val>
            <c:numRef>
              <c:f>Sheet1!$B$46:$C$46</c:f>
              <c:numCache>
                <c:formatCode>General</c:formatCode>
                <c:ptCount val="2"/>
                <c:pt idx="0">
                  <c:v>3</c:v>
                </c:pt>
                <c:pt idx="1">
                  <c:v>1</c:v>
                </c:pt>
              </c:numCache>
            </c:numRef>
          </c:val>
          <c:extLst>
            <c:ext xmlns:c16="http://schemas.microsoft.com/office/drawing/2014/chart" uri="{C3380CC4-5D6E-409C-BE32-E72D297353CC}">
              <c16:uniqueId val="{00000003-AE84-44F3-B3E5-D5D9DAA735EF}"/>
            </c:ext>
          </c:extLst>
        </c:ser>
        <c:dLbls>
          <c:dLblPos val="ctr"/>
          <c:showLegendKey val="0"/>
          <c:showVal val="1"/>
          <c:showCatName val="0"/>
          <c:showSerName val="0"/>
          <c:showPercent val="0"/>
          <c:showBubbleSize val="0"/>
        </c:dLbls>
        <c:gapWidth val="300"/>
        <c:overlap val="100"/>
        <c:axId val="511430296"/>
        <c:axId val="511439656"/>
      </c:barChart>
      <c:catAx>
        <c:axId val="511430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39656"/>
        <c:crosses val="autoZero"/>
        <c:auto val="1"/>
        <c:lblAlgn val="ctr"/>
        <c:lblOffset val="100"/>
        <c:noMultiLvlLbl val="0"/>
      </c:catAx>
      <c:valAx>
        <c:axId val="511439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30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US"/>
              <a:t>INCREASING DEMAND FOR HRLSC LEGAL SUPPORT SERVICES AS MEASURED BY NUMBER OF INQUIRIES WHEN HRLSC PROVIDED  SUMMARY LEGAL ADVICE </a:t>
            </a:r>
          </a:p>
          <a:p>
            <a:pPr>
              <a:defRPr/>
            </a:pPr>
            <a:r>
              <a:rPr lang="en-US"/>
              <a:t>- 6  YEAR TREND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lineChart>
        <c:grouping val="standard"/>
        <c:varyColors val="0"/>
        <c:ser>
          <c:idx val="0"/>
          <c:order val="0"/>
          <c:tx>
            <c:strRef>
              <c:f>Sheet1!$A$3</c:f>
              <c:strCache>
                <c:ptCount val="1"/>
                <c:pt idx="0">
                  <c:v>Number of Inquiry Responses per Year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Sheet1!$B$1:$G$2</c:f>
              <c:strCache>
                <c:ptCount val="6"/>
                <c:pt idx="0">
                  <c:v>2019-2020</c:v>
                </c:pt>
                <c:pt idx="1">
                  <c:v>2020-2021</c:v>
                </c:pt>
                <c:pt idx="2">
                  <c:v>2021-2022</c:v>
                </c:pt>
                <c:pt idx="3">
                  <c:v>2022-2023</c:v>
                </c:pt>
                <c:pt idx="4">
                  <c:v>2023-2024</c:v>
                </c:pt>
                <c:pt idx="5">
                  <c:v>2024-2025</c:v>
                </c:pt>
              </c:strCache>
            </c:strRef>
          </c:cat>
          <c:val>
            <c:numRef>
              <c:f>Sheet1!$B$3:$G$3</c:f>
              <c:numCache>
                <c:formatCode>General</c:formatCode>
                <c:ptCount val="6"/>
                <c:pt idx="0">
                  <c:v>19048</c:v>
                </c:pt>
                <c:pt idx="1">
                  <c:v>17579</c:v>
                </c:pt>
                <c:pt idx="2">
                  <c:v>18577</c:v>
                </c:pt>
                <c:pt idx="3">
                  <c:v>17521</c:v>
                </c:pt>
                <c:pt idx="4">
                  <c:v>19292</c:v>
                </c:pt>
                <c:pt idx="5">
                  <c:v>24426</c:v>
                </c:pt>
              </c:numCache>
            </c:numRef>
          </c:val>
          <c:smooth val="0"/>
          <c:extLst>
            <c:ext xmlns:c16="http://schemas.microsoft.com/office/drawing/2014/chart" uri="{C3380CC4-5D6E-409C-BE32-E72D297353CC}">
              <c16:uniqueId val="{00000000-0402-4AE1-8FC0-C2CAD8DFD776}"/>
            </c:ext>
          </c:extLst>
        </c:ser>
        <c:dLbls>
          <c:dLblPos val="t"/>
          <c:showLegendKey val="0"/>
          <c:showVal val="1"/>
          <c:showCatName val="0"/>
          <c:showSerName val="0"/>
          <c:showPercent val="0"/>
          <c:showBubbleSize val="0"/>
        </c:dLbls>
        <c:marker val="1"/>
        <c:smooth val="0"/>
        <c:axId val="555161560"/>
        <c:axId val="555160120"/>
      </c:lineChart>
      <c:catAx>
        <c:axId val="555161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CA" b="1"/>
                  <a:t>Fiscal Years - April to March</a:t>
                </a:r>
              </a:p>
            </c:rich>
          </c:tx>
          <c:layout>
            <c:manualLayout>
              <c:xMode val="edge"/>
              <c:yMode val="edge"/>
              <c:x val="0.33436702416508279"/>
              <c:y val="0.808496428931960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55160120"/>
        <c:crosses val="autoZero"/>
        <c:auto val="1"/>
        <c:lblAlgn val="ctr"/>
        <c:lblOffset val="100"/>
        <c:noMultiLvlLbl val="0"/>
      </c:catAx>
      <c:valAx>
        <c:axId val="555160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CA"/>
                  <a:t>Number of Inquiry Responses</a:t>
                </a:r>
              </a:p>
            </c:rich>
          </c:tx>
          <c:layout>
            <c:manualLayout>
              <c:xMode val="edge"/>
              <c:yMode val="edge"/>
              <c:x val="1.9779731197393426E-2"/>
              <c:y val="0.197129580557238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55161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r>
              <a:rPr lang="en-US" sz="1600" b="0">
                <a:solidFill>
                  <a:schemeClr val="bg2">
                    <a:lumMod val="50000"/>
                  </a:schemeClr>
                </a:solidFill>
              </a:rPr>
              <a:t>2024 </a:t>
            </a:r>
            <a:r>
              <a:rPr lang="en-CA" sz="1600" b="0">
                <a:solidFill>
                  <a:schemeClr val="bg2">
                    <a:lumMod val="50000"/>
                  </a:schemeClr>
                </a:solidFill>
              </a:rPr>
              <a:t>–</a:t>
            </a:r>
            <a:r>
              <a:rPr lang="en-US" sz="1600" b="0">
                <a:solidFill>
                  <a:schemeClr val="bg2">
                    <a:lumMod val="50000"/>
                  </a:schemeClr>
                </a:solidFill>
              </a:rPr>
              <a:t> 2025 INTAKE CALLS BY REGION</a:t>
            </a:r>
          </a:p>
        </c:rich>
      </c:tx>
      <c:layout>
        <c:manualLayout>
          <c:xMode val="edge"/>
          <c:yMode val="edge"/>
          <c:x val="0.14922900262467192"/>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pieChart>
        <c:varyColors val="1"/>
        <c:ser>
          <c:idx val="0"/>
          <c:order val="0"/>
          <c:dPt>
            <c:idx val="0"/>
            <c:bubble3D val="0"/>
            <c:spPr>
              <a:solidFill>
                <a:srgbClr val="C5583A"/>
              </a:solidFill>
              <a:ln>
                <a:solidFill>
                  <a:sysClr val="window" lastClr="FFFFFF"/>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56B-44AF-AA38-622E5251ED40}"/>
              </c:ext>
            </c:extLst>
          </c:dPt>
          <c:dPt>
            <c:idx val="1"/>
            <c:bubble3D val="0"/>
            <c:spPr>
              <a:solidFill>
                <a:srgbClr val="5D7F8D"/>
              </a:solidFill>
              <a:ln>
                <a:solidFill>
                  <a:sysClr val="window" lastClr="FFFFFF"/>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56B-44AF-AA38-622E5251ED40}"/>
              </c:ext>
            </c:extLst>
          </c:dPt>
          <c:dPt>
            <c:idx val="2"/>
            <c:bubble3D val="0"/>
            <c:spPr>
              <a:solidFill>
                <a:srgbClr val="F2C777"/>
              </a:solidFill>
              <a:ln>
                <a:solidFill>
                  <a:sysClr val="window" lastClr="FFFFFF"/>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56B-44AF-AA38-622E5251ED40}"/>
              </c:ext>
            </c:extLst>
          </c:dPt>
          <c:dPt>
            <c:idx val="3"/>
            <c:bubble3D val="0"/>
            <c:spPr>
              <a:solidFill>
                <a:schemeClr val="accent4"/>
              </a:solidFill>
              <a:ln>
                <a:solidFill>
                  <a:sysClr val="window" lastClr="FFFFFF"/>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56B-44AF-AA38-622E5251ED40}"/>
              </c:ext>
            </c:extLst>
          </c:dPt>
          <c:dPt>
            <c:idx val="4"/>
            <c:bubble3D val="0"/>
            <c:spPr>
              <a:solidFill>
                <a:schemeClr val="accent5"/>
              </a:solidFill>
              <a:ln>
                <a:solidFill>
                  <a:sysClr val="window" lastClr="FFFFFF"/>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56B-44AF-AA38-622E5251ED40}"/>
              </c:ext>
            </c:extLst>
          </c:dPt>
          <c:dPt>
            <c:idx val="5"/>
            <c:bubble3D val="0"/>
            <c:spPr>
              <a:solidFill>
                <a:srgbClr val="E8E8E8">
                  <a:lumMod val="75000"/>
                </a:srgbClr>
              </a:solidFill>
              <a:ln>
                <a:solidFill>
                  <a:sysClr val="window" lastClr="FFFFFF"/>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956B-44AF-AA38-622E5251ED40}"/>
              </c:ext>
            </c:extLst>
          </c:dPt>
          <c:dLbls>
            <c:dLbl>
              <c:idx val="0"/>
              <c:tx>
                <c:rich>
                  <a:bodyPr/>
                  <a:lstStyle/>
                  <a:p>
                    <a:fld id="{5F9EA6D1-63E6-470E-A8B4-DCEF7FE0460A}" type="CATEGORYNAME">
                      <a:rPr lang="en-US">
                        <a:latin typeface="Tahoma" panose="020B0604030504040204" pitchFamily="34" charset="0"/>
                        <a:ea typeface="Tahoma" panose="020B0604030504040204" pitchFamily="34" charset="0"/>
                        <a:cs typeface="Tahoma" panose="020B0604030504040204" pitchFamily="34" charset="0"/>
                      </a:rPr>
                      <a:pPr/>
                      <a:t>[CATEGORY NAME]</a:t>
                    </a:fld>
                    <a:r>
                      <a:rPr lang="en-US" baseline="0">
                        <a:latin typeface="Tahoma" panose="020B0604030504040204" pitchFamily="34" charset="0"/>
                        <a:ea typeface="Tahoma" panose="020B0604030504040204" pitchFamily="34" charset="0"/>
                        <a:cs typeface="Tahoma" panose="020B0604030504040204" pitchFamily="34" charset="0"/>
                      </a:rPr>
                      <a:t>
</a:t>
                    </a:r>
                    <a:fld id="{7550FB15-8ECF-410F-BFA7-A0CDAE6D0235}" type="PERCENTAGE">
                      <a:rPr lang="en-US" baseline="0">
                        <a:latin typeface="Tahoma" panose="020B0604030504040204" pitchFamily="34" charset="0"/>
                        <a:ea typeface="Tahoma" panose="020B0604030504040204" pitchFamily="34" charset="0"/>
                        <a:cs typeface="Tahoma" panose="020B0604030504040204" pitchFamily="34" charset="0"/>
                      </a:rPr>
                      <a:pPr/>
                      <a:t>[PERCENTAGE]</a:t>
                    </a:fld>
                    <a:endParaRPr lang="en-US" baseline="0">
                      <a:latin typeface="Tahoma" panose="020B0604030504040204" pitchFamily="34" charset="0"/>
                      <a:ea typeface="Tahoma" panose="020B0604030504040204" pitchFamily="34" charset="0"/>
                      <a:cs typeface="Tahoma" panose="020B0604030504040204" pitchFamily="34" charset="0"/>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56B-44AF-AA38-622E5251ED40}"/>
                </c:ext>
              </c:extLst>
            </c:dLbl>
            <c:dLbl>
              <c:idx val="1"/>
              <c:tx>
                <c:rich>
                  <a:bodyPr/>
                  <a:lstStyle/>
                  <a:p>
                    <a:fld id="{01E55311-A306-45AE-8186-95E284241CF6}" type="CATEGORYNAME">
                      <a:rPr lang="en-US">
                        <a:latin typeface="Tahoma" panose="020B0604030504040204" pitchFamily="34" charset="0"/>
                        <a:ea typeface="Tahoma" panose="020B0604030504040204" pitchFamily="34" charset="0"/>
                        <a:cs typeface="Tahoma" panose="020B0604030504040204" pitchFamily="34" charset="0"/>
                      </a:rPr>
                      <a:pPr/>
                      <a:t>[CATEGORY NAME]</a:t>
                    </a:fld>
                    <a:r>
                      <a:rPr lang="en-US" baseline="0">
                        <a:latin typeface="Tahoma" panose="020B0604030504040204" pitchFamily="34" charset="0"/>
                        <a:ea typeface="Tahoma" panose="020B0604030504040204" pitchFamily="34" charset="0"/>
                        <a:cs typeface="Tahoma" panose="020B0604030504040204" pitchFamily="34" charset="0"/>
                      </a:rPr>
                      <a:t>
</a:t>
                    </a:r>
                    <a:fld id="{E3EFCC41-3CBD-4F44-9665-EB6B546B9793}" type="PERCENTAGE">
                      <a:rPr lang="en-US" baseline="0">
                        <a:latin typeface="Tahoma" panose="020B0604030504040204" pitchFamily="34" charset="0"/>
                        <a:ea typeface="Tahoma" panose="020B0604030504040204" pitchFamily="34" charset="0"/>
                        <a:cs typeface="Tahoma" panose="020B0604030504040204" pitchFamily="34" charset="0"/>
                      </a:rPr>
                      <a:pPr/>
                      <a:t>[PERCENTAGE]</a:t>
                    </a:fld>
                    <a:endParaRPr lang="en-US" baseline="0">
                      <a:latin typeface="Tahoma" panose="020B0604030504040204" pitchFamily="34" charset="0"/>
                      <a:ea typeface="Tahoma" panose="020B0604030504040204" pitchFamily="34" charset="0"/>
                      <a:cs typeface="Tahoma" panose="020B0604030504040204" pitchFamily="34" charset="0"/>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56B-44AF-AA38-622E5251ED40}"/>
                </c:ext>
              </c:extLst>
            </c:dLbl>
            <c:dLbl>
              <c:idx val="2"/>
              <c:tx>
                <c:rich>
                  <a:bodyPr/>
                  <a:lstStyle/>
                  <a:p>
                    <a:fld id="{5BE40BDF-B5ED-4AD3-8B2F-BF967B2E4110}" type="CATEGORYNAME">
                      <a:rPr lang="en-US">
                        <a:latin typeface="Tahoma" panose="020B0604030504040204" pitchFamily="34" charset="0"/>
                        <a:ea typeface="Tahoma" panose="020B0604030504040204" pitchFamily="34" charset="0"/>
                        <a:cs typeface="Tahoma" panose="020B0604030504040204" pitchFamily="34" charset="0"/>
                      </a:rPr>
                      <a:pPr/>
                      <a:t>[CATEGORY NAME]</a:t>
                    </a:fld>
                    <a:r>
                      <a:rPr lang="en-US" baseline="0">
                        <a:latin typeface="Tahoma" panose="020B0604030504040204" pitchFamily="34" charset="0"/>
                        <a:ea typeface="Tahoma" panose="020B0604030504040204" pitchFamily="34" charset="0"/>
                        <a:cs typeface="Tahoma" panose="020B0604030504040204" pitchFamily="34" charset="0"/>
                      </a:rPr>
                      <a:t>
</a:t>
                    </a:r>
                    <a:fld id="{9530B3E5-C855-4708-86AB-0D367CEEB363}" type="PERCENTAGE">
                      <a:rPr lang="en-US" baseline="0">
                        <a:latin typeface="Tahoma" panose="020B0604030504040204" pitchFamily="34" charset="0"/>
                        <a:ea typeface="Tahoma" panose="020B0604030504040204" pitchFamily="34" charset="0"/>
                        <a:cs typeface="Tahoma" panose="020B0604030504040204" pitchFamily="34" charset="0"/>
                      </a:rPr>
                      <a:pPr/>
                      <a:t>[PERCENTAGE]</a:t>
                    </a:fld>
                    <a:endParaRPr lang="en-US" baseline="0">
                      <a:latin typeface="Tahoma" panose="020B0604030504040204" pitchFamily="34" charset="0"/>
                      <a:ea typeface="Tahoma" panose="020B0604030504040204" pitchFamily="34" charset="0"/>
                      <a:cs typeface="Tahoma" panose="020B0604030504040204" pitchFamily="34" charset="0"/>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56B-44AF-AA38-622E5251ED40}"/>
                </c:ext>
              </c:extLst>
            </c:dLbl>
            <c:dLbl>
              <c:idx val="3"/>
              <c:tx>
                <c:rich>
                  <a:bodyPr/>
                  <a:lstStyle/>
                  <a:p>
                    <a:fld id="{64447B07-1389-4F7D-85C3-F3E764978C92}" type="CATEGORYNAME">
                      <a:rPr lang="en-US">
                        <a:latin typeface="Tahoma" panose="020B0604030504040204" pitchFamily="34" charset="0"/>
                        <a:ea typeface="Tahoma" panose="020B0604030504040204" pitchFamily="34" charset="0"/>
                        <a:cs typeface="Tahoma" panose="020B0604030504040204" pitchFamily="34" charset="0"/>
                      </a:rPr>
                      <a:pPr/>
                      <a:t>[CATEGORY NAME]</a:t>
                    </a:fld>
                    <a:r>
                      <a:rPr lang="en-US" baseline="0"/>
                      <a:t>
</a:t>
                    </a:r>
                    <a:fld id="{6E0DDE4D-9356-4572-8C35-950CEA7231C3}"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56B-44AF-AA38-622E5251ED40}"/>
                </c:ext>
              </c:extLst>
            </c:dLbl>
            <c:dLbl>
              <c:idx val="4"/>
              <c:layout>
                <c:manualLayout>
                  <c:x val="-5.5555555555555558E-3"/>
                  <c:y val="1.8518518518518517E-2"/>
                </c:manualLayout>
              </c:layout>
              <c:tx>
                <c:rich>
                  <a:bodyPr/>
                  <a:lstStyle/>
                  <a:p>
                    <a:fld id="{CDF7AE2E-5D8E-4FEA-9A3B-3FDC774E8175}" type="CATEGORYNAME">
                      <a:rPr lang="en-US">
                        <a:latin typeface="Tahoma" panose="020B0604030504040204" pitchFamily="34" charset="0"/>
                        <a:ea typeface="Tahoma" panose="020B0604030504040204" pitchFamily="34" charset="0"/>
                        <a:cs typeface="Tahoma" panose="020B0604030504040204" pitchFamily="34" charset="0"/>
                      </a:rPr>
                      <a:pPr/>
                      <a:t>[CATEGORY NAME]</a:t>
                    </a:fld>
                    <a:r>
                      <a:rPr lang="en-US" baseline="0">
                        <a:latin typeface="Tahoma" panose="020B0604030504040204" pitchFamily="34" charset="0"/>
                        <a:ea typeface="Tahoma" panose="020B0604030504040204" pitchFamily="34" charset="0"/>
                        <a:cs typeface="Tahoma" panose="020B0604030504040204" pitchFamily="34" charset="0"/>
                      </a:rPr>
                      <a:t>
</a:t>
                    </a:r>
                    <a:fld id="{E6482415-D687-4F8C-BB4A-D5D331E76C7C}" type="PERCENTAGE">
                      <a:rPr lang="en-US" baseline="0">
                        <a:latin typeface="Tahoma" panose="020B0604030504040204" pitchFamily="34" charset="0"/>
                        <a:ea typeface="Tahoma" panose="020B0604030504040204" pitchFamily="34" charset="0"/>
                        <a:cs typeface="Tahoma" panose="020B0604030504040204" pitchFamily="34" charset="0"/>
                      </a:rPr>
                      <a:pPr/>
                      <a:t>[PERCENTAGE]</a:t>
                    </a:fld>
                    <a:endParaRPr lang="en-US"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56B-44AF-AA38-622E5251ED40}"/>
                </c:ext>
              </c:extLst>
            </c:dLbl>
            <c:dLbl>
              <c:idx val="5"/>
              <c:layout>
                <c:manualLayout>
                  <c:x val="-5.6481991606086258E-3"/>
                  <c:y val="-2.6604778436089615E-2"/>
                </c:manualLayout>
              </c:layout>
              <c:tx>
                <c:rich>
                  <a:bodyPr/>
                  <a:lstStyle/>
                  <a:p>
                    <a:fld id="{CC852C49-7141-4853-96B0-B76244B350F4}" type="CATEGORYNAME">
                      <a:rPr lang="en-US">
                        <a:latin typeface="Tahoma" panose="020B0604030504040204" pitchFamily="34" charset="0"/>
                        <a:ea typeface="Tahoma" panose="020B0604030504040204" pitchFamily="34" charset="0"/>
                        <a:cs typeface="Tahoma" panose="020B0604030504040204" pitchFamily="34" charset="0"/>
                      </a:rPr>
                      <a:pPr/>
                      <a:t>[CATEGORY NAME]</a:t>
                    </a:fld>
                    <a:r>
                      <a:rPr lang="en-US" baseline="0"/>
                      <a:t>
</a:t>
                    </a:r>
                    <a:fld id="{20A3EB57-7BC6-4015-8D0D-1AB9514E0235}"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56B-44AF-AA38-622E5251ED40}"/>
                </c:ext>
              </c:extLst>
            </c:dLbl>
            <c:spPr>
              <a:solidFill>
                <a:sysClr val="window" lastClr="FFFFFF"/>
              </a:solidFill>
              <a:ln>
                <a:solidFill>
                  <a:sysClr val="window" lastClr="FFFFFF">
                    <a:lumMod val="50000"/>
                  </a:sysClr>
                </a:solid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'Ontario Regions by % of Provinc'!$D$25:$D$30</c:f>
              <c:strCache>
                <c:ptCount val="6"/>
                <c:pt idx="0">
                  <c:v>Central</c:v>
                </c:pt>
                <c:pt idx="1">
                  <c:v>Metro Toronto</c:v>
                </c:pt>
                <c:pt idx="2">
                  <c:v>Southwest</c:v>
                </c:pt>
                <c:pt idx="3">
                  <c:v>East </c:v>
                </c:pt>
                <c:pt idx="4">
                  <c:v>North</c:v>
                </c:pt>
                <c:pt idx="5">
                  <c:v>Out of Province</c:v>
                </c:pt>
              </c:strCache>
            </c:strRef>
          </c:cat>
          <c:val>
            <c:numRef>
              <c:f>'Ontario Regions by % of Provinc'!$E$25:$E$30</c:f>
              <c:numCache>
                <c:formatCode>0%</c:formatCode>
                <c:ptCount val="6"/>
                <c:pt idx="0">
                  <c:v>0.31</c:v>
                </c:pt>
                <c:pt idx="1">
                  <c:v>0.3</c:v>
                </c:pt>
                <c:pt idx="2">
                  <c:v>0.17</c:v>
                </c:pt>
                <c:pt idx="3">
                  <c:v>0.13</c:v>
                </c:pt>
                <c:pt idx="4">
                  <c:v>0.06</c:v>
                </c:pt>
                <c:pt idx="5">
                  <c:v>0.03</c:v>
                </c:pt>
              </c:numCache>
            </c:numRef>
          </c:val>
          <c:extLst>
            <c:ext xmlns:c16="http://schemas.microsoft.com/office/drawing/2014/chart" uri="{C3380CC4-5D6E-409C-BE32-E72D297353CC}">
              <c16:uniqueId val="{0000000C-956B-44AF-AA38-622E5251ED40}"/>
            </c:ext>
          </c:extLst>
        </c:ser>
        <c:dLbls>
          <c:showLegendKey val="0"/>
          <c:showVal val="0"/>
          <c:showCatName val="0"/>
          <c:showSerName val="0"/>
          <c:showPercent val="0"/>
          <c:showBubbleSize val="0"/>
          <c:showLeaderLines val="0"/>
        </c:dLbls>
        <c:firstSliceAng val="265"/>
      </c:pieChart>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INDIGENOUS</a:t>
            </a:r>
            <a:r>
              <a:rPr lang="en-US" baseline="0"/>
              <a:t> SERVICES - INTERVIEWS </a:t>
            </a:r>
          </a:p>
          <a:p>
            <a:pPr>
              <a:defRPr/>
            </a:pPr>
            <a:r>
              <a:rPr lang="en-US" baseline="0"/>
              <a:t>(# OF INDIVIDUALS)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'Indigenous Services'!$A$3</c:f>
              <c:strCache>
                <c:ptCount val="1"/>
                <c:pt idx="0">
                  <c:v>Mediation Interviews</c:v>
                </c:pt>
              </c:strCache>
            </c:strRef>
          </c:tx>
          <c:spPr>
            <a:solidFill>
              <a:srgbClr val="5D7F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'Indigenous Services'!$C$1:$F$1</c:f>
              <c:strCache>
                <c:ptCount val="4"/>
                <c:pt idx="0">
                  <c:v>2021/22</c:v>
                </c:pt>
                <c:pt idx="1">
                  <c:v>2022/23</c:v>
                </c:pt>
                <c:pt idx="2">
                  <c:v>2023/24</c:v>
                </c:pt>
                <c:pt idx="3">
                  <c:v>2024/25</c:v>
                </c:pt>
              </c:strCache>
              <c:extLst/>
            </c:strRef>
          </c:cat>
          <c:val>
            <c:numRef>
              <c:f>'Indigenous Services'!$C$3:$F$3</c:f>
              <c:numCache>
                <c:formatCode>General</c:formatCode>
                <c:ptCount val="4"/>
                <c:pt idx="0">
                  <c:v>7</c:v>
                </c:pt>
                <c:pt idx="1">
                  <c:v>14</c:v>
                </c:pt>
                <c:pt idx="2">
                  <c:v>22</c:v>
                </c:pt>
                <c:pt idx="3">
                  <c:v>33</c:v>
                </c:pt>
              </c:numCache>
              <c:extLst/>
            </c:numRef>
          </c:val>
          <c:extLst>
            <c:ext xmlns:c16="http://schemas.microsoft.com/office/drawing/2014/chart" uri="{C3380CC4-5D6E-409C-BE32-E72D297353CC}">
              <c16:uniqueId val="{00000000-333F-454E-B3B6-0A99EE4432AC}"/>
            </c:ext>
          </c:extLst>
        </c:ser>
        <c:dLbls>
          <c:dLblPos val="outEnd"/>
          <c:showLegendKey val="0"/>
          <c:showVal val="1"/>
          <c:showCatName val="0"/>
          <c:showSerName val="0"/>
          <c:showPercent val="0"/>
          <c:showBubbleSize val="0"/>
        </c:dLbls>
        <c:gapWidth val="219"/>
        <c:overlap val="-27"/>
        <c:axId val="562078280"/>
        <c:axId val="562098800"/>
        <c:extLst>
          <c:ext xmlns:c15="http://schemas.microsoft.com/office/drawing/2012/chart" uri="{02D57815-91ED-43cb-92C2-25804820EDAC}">
            <c15:filteredBarSeries>
              <c15:ser>
                <c:idx val="0"/>
                <c:order val="0"/>
                <c:tx>
                  <c:strRef>
                    <c:extLst>
                      <c:ext uri="{02D57815-91ED-43cb-92C2-25804820EDAC}">
                        <c15:formulaRef>
                          <c15:sqref>'Indigenous Services'!$A$2</c15:sqref>
                        </c15:formulaRef>
                      </c:ext>
                    </c:extLst>
                    <c:strCache>
                      <c:ptCount val="1"/>
                      <c:pt idx="0">
                        <c:v>Application Interviews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'Indigenous Services'!$C$1:$F$1</c15:sqref>
                        </c15:formulaRef>
                      </c:ext>
                    </c:extLst>
                    <c:strCache>
                      <c:ptCount val="4"/>
                      <c:pt idx="0">
                        <c:v>2021/22</c:v>
                      </c:pt>
                      <c:pt idx="1">
                        <c:v>2022/23</c:v>
                      </c:pt>
                      <c:pt idx="2">
                        <c:v>2023/24</c:v>
                      </c:pt>
                      <c:pt idx="3">
                        <c:v>2024/25</c:v>
                      </c:pt>
                    </c:strCache>
                  </c:strRef>
                </c:cat>
                <c:val>
                  <c:numRef>
                    <c:extLst>
                      <c:ext uri="{02D57815-91ED-43cb-92C2-25804820EDAC}">
                        <c15:formulaRef>
                          <c15:sqref>'Indigenous Services'!$C$2:$F$2</c15:sqref>
                        </c15:formulaRef>
                      </c:ext>
                    </c:extLst>
                    <c:numCache>
                      <c:formatCode>General</c:formatCode>
                      <c:ptCount val="4"/>
                      <c:pt idx="0">
                        <c:v>102</c:v>
                      </c:pt>
                      <c:pt idx="1">
                        <c:v>66</c:v>
                      </c:pt>
                      <c:pt idx="2">
                        <c:v>90</c:v>
                      </c:pt>
                      <c:pt idx="3">
                        <c:v>68</c:v>
                      </c:pt>
                    </c:numCache>
                  </c:numRef>
                </c:val>
                <c:extLst>
                  <c:ext xmlns:c16="http://schemas.microsoft.com/office/drawing/2014/chart" uri="{C3380CC4-5D6E-409C-BE32-E72D297353CC}">
                    <c16:uniqueId val="{00000001-333F-454E-B3B6-0A99EE4432A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'Indigenous Services'!$A$4</c15:sqref>
                        </c15:formulaRef>
                      </c:ext>
                    </c:extLst>
                    <c:strCache>
                      <c:ptCount val="1"/>
                      <c:pt idx="0">
                        <c:v>Hearing Interviews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'Indigenous Services'!$C$1:$F$1</c15:sqref>
                        </c15:formulaRef>
                      </c:ext>
                    </c:extLst>
                    <c:strCache>
                      <c:ptCount val="4"/>
                      <c:pt idx="0">
                        <c:v>2021/22</c:v>
                      </c:pt>
                      <c:pt idx="1">
                        <c:v>2022/23</c:v>
                      </c:pt>
                      <c:pt idx="2">
                        <c:v>2023/24</c:v>
                      </c:pt>
                      <c:pt idx="3">
                        <c:v>2024/25</c:v>
                      </c:pt>
                    </c:strCache>
                  </c:strRef>
                </c:cat>
                <c:val>
                  <c:numRef>
                    <c:extLst xmlns:c15="http://schemas.microsoft.com/office/drawing/2012/chart">
                      <c:ext xmlns:c15="http://schemas.microsoft.com/office/drawing/2012/chart" uri="{02D57815-91ED-43cb-92C2-25804820EDAC}">
                        <c15:formulaRef>
                          <c15:sqref>'Indigenous Services'!$C$4:$F$4</c15:sqref>
                        </c15:formulaRef>
                      </c:ext>
                    </c:extLst>
                    <c:numCache>
                      <c:formatCode>General</c:formatCode>
                      <c:ptCount val="4"/>
                      <c:pt idx="0">
                        <c:v>2</c:v>
                      </c:pt>
                      <c:pt idx="1">
                        <c:v>3</c:v>
                      </c:pt>
                      <c:pt idx="2">
                        <c:v>6</c:v>
                      </c:pt>
                      <c:pt idx="3">
                        <c:v>6</c:v>
                      </c:pt>
                    </c:numCache>
                  </c:numRef>
                </c:val>
                <c:extLst xmlns:c15="http://schemas.microsoft.com/office/drawing/2012/chart">
                  <c:ext xmlns:c16="http://schemas.microsoft.com/office/drawing/2014/chart" uri="{C3380CC4-5D6E-409C-BE32-E72D297353CC}">
                    <c16:uniqueId val="{00000002-333F-454E-B3B6-0A99EE4432AC}"/>
                  </c:ext>
                </c:extLst>
              </c15:ser>
            </c15:filteredBarSeries>
          </c:ext>
        </c:extLst>
      </c:barChart>
      <c:catAx>
        <c:axId val="562078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098800"/>
        <c:crosses val="autoZero"/>
        <c:auto val="1"/>
        <c:lblAlgn val="ctr"/>
        <c:lblOffset val="100"/>
        <c:noMultiLvlLbl val="0"/>
      </c:catAx>
      <c:valAx>
        <c:axId val="56209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078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ISOC SERVICE</a:t>
            </a:r>
            <a:r>
              <a:rPr lang="en-US" baseline="0"/>
              <a:t> CALLS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'ISOC Service Calls'!$A$2</c:f>
              <c:strCache>
                <c:ptCount val="1"/>
                <c:pt idx="0">
                  <c:v>Entered</c:v>
                </c:pt>
              </c:strCache>
            </c:strRef>
          </c:tx>
          <c:spPr>
            <a:solidFill>
              <a:srgbClr val="5D7F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'ISOC Service Calls'!$B$1:$D$1</c:f>
              <c:strCache>
                <c:ptCount val="3"/>
                <c:pt idx="0">
                  <c:v>2022/23</c:v>
                </c:pt>
                <c:pt idx="1">
                  <c:v>2023/24</c:v>
                </c:pt>
                <c:pt idx="2">
                  <c:v>2024/25</c:v>
                </c:pt>
              </c:strCache>
            </c:strRef>
          </c:cat>
          <c:val>
            <c:numRef>
              <c:f>'ISOC Service Calls'!$B$2:$D$2</c:f>
              <c:numCache>
                <c:formatCode>General</c:formatCode>
                <c:ptCount val="3"/>
                <c:pt idx="0">
                  <c:v>691</c:v>
                </c:pt>
                <c:pt idx="1">
                  <c:v>936</c:v>
                </c:pt>
                <c:pt idx="2">
                  <c:v>957</c:v>
                </c:pt>
              </c:numCache>
            </c:numRef>
          </c:val>
          <c:extLst>
            <c:ext xmlns:c16="http://schemas.microsoft.com/office/drawing/2014/chart" uri="{C3380CC4-5D6E-409C-BE32-E72D297353CC}">
              <c16:uniqueId val="{00000000-509F-4B12-A320-EB0A44FF7F3A}"/>
            </c:ext>
          </c:extLst>
        </c:ser>
        <c:ser>
          <c:idx val="1"/>
          <c:order val="1"/>
          <c:tx>
            <c:strRef>
              <c:f>'ISOC Service Calls'!$A$3</c:f>
              <c:strCache>
                <c:ptCount val="1"/>
                <c:pt idx="0">
                  <c:v>Accepted</c:v>
                </c:pt>
              </c:strCache>
            </c:strRef>
          </c:tx>
          <c:spPr>
            <a:solidFill>
              <a:srgbClr val="C558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'ISOC Service Calls'!$B$1:$D$1</c:f>
              <c:strCache>
                <c:ptCount val="3"/>
                <c:pt idx="0">
                  <c:v>2022/23</c:v>
                </c:pt>
                <c:pt idx="1">
                  <c:v>2023/24</c:v>
                </c:pt>
                <c:pt idx="2">
                  <c:v>2024/25</c:v>
                </c:pt>
              </c:strCache>
            </c:strRef>
          </c:cat>
          <c:val>
            <c:numRef>
              <c:f>'ISOC Service Calls'!$B$3:$D$3</c:f>
              <c:numCache>
                <c:formatCode>General</c:formatCode>
                <c:ptCount val="3"/>
                <c:pt idx="0">
                  <c:v>595</c:v>
                </c:pt>
                <c:pt idx="1">
                  <c:v>800</c:v>
                </c:pt>
                <c:pt idx="2">
                  <c:v>822</c:v>
                </c:pt>
              </c:numCache>
            </c:numRef>
          </c:val>
          <c:extLst>
            <c:ext xmlns:c16="http://schemas.microsoft.com/office/drawing/2014/chart" uri="{C3380CC4-5D6E-409C-BE32-E72D297353CC}">
              <c16:uniqueId val="{00000001-509F-4B12-A320-EB0A44FF7F3A}"/>
            </c:ext>
          </c:extLst>
        </c:ser>
        <c:dLbls>
          <c:showLegendKey val="0"/>
          <c:showVal val="0"/>
          <c:showCatName val="0"/>
          <c:showSerName val="0"/>
          <c:showPercent val="0"/>
          <c:showBubbleSize val="0"/>
        </c:dLbls>
        <c:gapWidth val="219"/>
        <c:overlap val="-27"/>
        <c:axId val="637522616"/>
        <c:axId val="637519016"/>
      </c:barChart>
      <c:lineChart>
        <c:grouping val="standard"/>
        <c:varyColors val="0"/>
        <c:ser>
          <c:idx val="2"/>
          <c:order val="2"/>
          <c:tx>
            <c:strRef>
              <c:f>'ISOC Service Calls'!$A$4</c:f>
              <c:strCache>
                <c:ptCount val="1"/>
                <c:pt idx="0">
                  <c:v>Percent Accepted </c:v>
                </c:pt>
              </c:strCache>
            </c:strRef>
          </c:tx>
          <c:spPr>
            <a:ln w="28575" cap="rnd">
              <a:solidFill>
                <a:srgbClr val="F2C777"/>
              </a:solidFill>
              <a:round/>
            </a:ln>
            <a:effectLst/>
          </c:spPr>
          <c:marker>
            <c:symbol val="none"/>
          </c:marker>
          <c:cat>
            <c:strRef>
              <c:f>'ISOC Service Calls'!$B$1:$D$1</c:f>
              <c:strCache>
                <c:ptCount val="3"/>
                <c:pt idx="0">
                  <c:v>2022/23</c:v>
                </c:pt>
                <c:pt idx="1">
                  <c:v>2023/24</c:v>
                </c:pt>
                <c:pt idx="2">
                  <c:v>2024/25</c:v>
                </c:pt>
              </c:strCache>
            </c:strRef>
          </c:cat>
          <c:val>
            <c:numRef>
              <c:f>'ISOC Service Calls'!$B$4:$D$4</c:f>
              <c:numCache>
                <c:formatCode>0%</c:formatCode>
                <c:ptCount val="3"/>
                <c:pt idx="0">
                  <c:v>0.86</c:v>
                </c:pt>
                <c:pt idx="1">
                  <c:v>0.85</c:v>
                </c:pt>
                <c:pt idx="2">
                  <c:v>0.86</c:v>
                </c:pt>
              </c:numCache>
            </c:numRef>
          </c:val>
          <c:smooth val="0"/>
          <c:extLst>
            <c:ext xmlns:c16="http://schemas.microsoft.com/office/drawing/2014/chart" uri="{C3380CC4-5D6E-409C-BE32-E72D297353CC}">
              <c16:uniqueId val="{00000002-509F-4B12-A320-EB0A44FF7F3A}"/>
            </c:ext>
          </c:extLst>
        </c:ser>
        <c:dLbls>
          <c:showLegendKey val="0"/>
          <c:showVal val="0"/>
          <c:showCatName val="0"/>
          <c:showSerName val="0"/>
          <c:showPercent val="0"/>
          <c:showBubbleSize val="0"/>
        </c:dLbls>
        <c:marker val="1"/>
        <c:smooth val="0"/>
        <c:axId val="637529456"/>
        <c:axId val="637526936"/>
      </c:lineChart>
      <c:catAx>
        <c:axId val="637522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519016"/>
        <c:crosses val="autoZero"/>
        <c:auto val="1"/>
        <c:lblAlgn val="ctr"/>
        <c:lblOffset val="100"/>
        <c:noMultiLvlLbl val="0"/>
      </c:catAx>
      <c:valAx>
        <c:axId val="637519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522616"/>
        <c:crosses val="autoZero"/>
        <c:crossBetween val="between"/>
      </c:valAx>
      <c:valAx>
        <c:axId val="637526936"/>
        <c:scaling>
          <c:orientation val="minMax"/>
          <c:max val="0.87000000000000011"/>
          <c:min val="0.8"/>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529456"/>
        <c:crosses val="max"/>
        <c:crossBetween val="between"/>
      </c:valAx>
      <c:catAx>
        <c:axId val="637529456"/>
        <c:scaling>
          <c:orientation val="minMax"/>
        </c:scaling>
        <c:delete val="1"/>
        <c:axPos val="b"/>
        <c:numFmt formatCode="General" sourceLinked="1"/>
        <c:majorTickMark val="none"/>
        <c:minorTickMark val="none"/>
        <c:tickLblPos val="nextTo"/>
        <c:crossAx val="637526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Tahoma" panose="020B0604030504040204" pitchFamily="34" charset="0"/>
                <a:ea typeface="Tahoma" panose="020B0604030504040204" pitchFamily="34" charset="0"/>
                <a:cs typeface="Tahoma" panose="020B0604030504040204" pitchFamily="34" charset="0"/>
              </a:defRPr>
            </a:pPr>
            <a:r>
              <a:rPr lang="en-US" b="0">
                <a:solidFill>
                  <a:schemeClr val="bg2">
                    <a:lumMod val="50000"/>
                  </a:schemeClr>
                </a:solidFill>
              </a:rPr>
              <a:t>2024</a:t>
            </a:r>
            <a:r>
              <a:rPr lang="en-CA" b="0">
                <a:solidFill>
                  <a:schemeClr val="bg2">
                    <a:lumMod val="50000"/>
                  </a:schemeClr>
                </a:solidFill>
              </a:rPr>
              <a:t>–</a:t>
            </a:r>
            <a:r>
              <a:rPr lang="en-US" b="0">
                <a:solidFill>
                  <a:schemeClr val="bg2">
                    <a:lumMod val="50000"/>
                  </a:schemeClr>
                </a:solidFill>
              </a:rPr>
              <a:t>2025 SOCIAL AREAS NOTED IN INTAKE CALLS</a:t>
            </a:r>
          </a:p>
        </c:rich>
      </c:tx>
      <c:layout>
        <c:manualLayout>
          <c:xMode val="edge"/>
          <c:yMode val="edge"/>
          <c:x val="0.12726377952755905"/>
          <c:y val="0"/>
        </c:manualLayout>
      </c:layout>
      <c:overlay val="0"/>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manualLayout>
          <c:layoutTarget val="inner"/>
          <c:xMode val="edge"/>
          <c:yMode val="edge"/>
          <c:x val="0.22507676573650884"/>
          <c:y val="0.28738027064798721"/>
          <c:w val="0.61229646958582007"/>
          <c:h val="0.69811074752019631"/>
        </c:manualLayout>
      </c:layout>
      <c:pieChart>
        <c:varyColors val="1"/>
        <c:ser>
          <c:idx val="0"/>
          <c:order val="0"/>
          <c:tx>
            <c:strRef>
              <c:f>'C:\Users\williac\Downloads\[d82df65a-Intake - By Social Area-20250616-043159714-Williams-Christopher-478.xlsx]Dataset 1'!$B$5</c:f>
              <c:strCache>
                <c:ptCount val="1"/>
                <c:pt idx="0">
                  <c:v>Total</c:v>
                </c:pt>
              </c:strCache>
            </c:strRef>
          </c:tx>
          <c:spPr>
            <a:ln w="12700">
              <a:solidFill>
                <a:sysClr val="window" lastClr="FFFFFF"/>
              </a:solidFill>
            </a:ln>
          </c:spPr>
          <c:dPt>
            <c:idx val="0"/>
            <c:bubble3D val="0"/>
            <c:spPr>
              <a:solidFill>
                <a:srgbClr val="0F9ED5"/>
              </a:solidFill>
              <a:ln w="12700">
                <a:solidFill>
                  <a:sysClr val="window" lastClr="FFFFFF"/>
                </a:solidFill>
              </a:ln>
              <a:effectLst/>
            </c:spPr>
            <c:extLst>
              <c:ext xmlns:c16="http://schemas.microsoft.com/office/drawing/2014/chart" uri="{C3380CC4-5D6E-409C-BE32-E72D297353CC}">
                <c16:uniqueId val="{00000001-EDE1-420D-A7ED-ABC27FFFFB3E}"/>
              </c:ext>
            </c:extLst>
          </c:dPt>
          <c:dPt>
            <c:idx val="1"/>
            <c:bubble3D val="0"/>
            <c:spPr>
              <a:solidFill>
                <a:srgbClr val="C5583A"/>
              </a:solidFill>
              <a:ln w="12700">
                <a:solidFill>
                  <a:sysClr val="window" lastClr="FFFFFF"/>
                </a:solidFill>
              </a:ln>
              <a:effectLst/>
            </c:spPr>
            <c:extLst>
              <c:ext xmlns:c16="http://schemas.microsoft.com/office/drawing/2014/chart" uri="{C3380CC4-5D6E-409C-BE32-E72D297353CC}">
                <c16:uniqueId val="{00000003-EDE1-420D-A7ED-ABC27FFFFB3E}"/>
              </c:ext>
            </c:extLst>
          </c:dPt>
          <c:dPt>
            <c:idx val="2"/>
            <c:bubble3D val="0"/>
            <c:spPr>
              <a:solidFill>
                <a:srgbClr val="5D7F8D"/>
              </a:solidFill>
              <a:ln w="12700">
                <a:solidFill>
                  <a:sysClr val="window" lastClr="FFFFFF"/>
                </a:solidFill>
              </a:ln>
              <a:effectLst/>
            </c:spPr>
            <c:extLst>
              <c:ext xmlns:c16="http://schemas.microsoft.com/office/drawing/2014/chart" uri="{C3380CC4-5D6E-409C-BE32-E72D297353CC}">
                <c16:uniqueId val="{00000005-EDE1-420D-A7ED-ABC27FFFFB3E}"/>
              </c:ext>
            </c:extLst>
          </c:dPt>
          <c:dPt>
            <c:idx val="3"/>
            <c:bubble3D val="0"/>
            <c:spPr>
              <a:solidFill>
                <a:srgbClr val="F2C777"/>
              </a:solidFill>
              <a:ln w="12700">
                <a:solidFill>
                  <a:sysClr val="window" lastClr="FFFFFF"/>
                </a:solidFill>
              </a:ln>
              <a:effectLst/>
            </c:spPr>
            <c:extLst>
              <c:ext xmlns:c16="http://schemas.microsoft.com/office/drawing/2014/chart" uri="{C3380CC4-5D6E-409C-BE32-E72D297353CC}">
                <c16:uniqueId val="{00000007-EDE1-420D-A7ED-ABC27FFFFB3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12700">
                <a:solidFill>
                  <a:sysClr val="window" lastClr="FFFFFF"/>
                </a:solidFill>
              </a:ln>
              <a:effectLst/>
            </c:spPr>
            <c:extLst>
              <c:ext xmlns:c16="http://schemas.microsoft.com/office/drawing/2014/chart" uri="{C3380CC4-5D6E-409C-BE32-E72D297353CC}">
                <c16:uniqueId val="{00000009-EDE1-420D-A7ED-ABC27FFFFB3E}"/>
              </c:ext>
            </c:extLst>
          </c:dPt>
          <c:dPt>
            <c:idx val="5"/>
            <c:bubble3D val="0"/>
            <c:spPr>
              <a:solidFill>
                <a:srgbClr val="E8E8E8">
                  <a:lumMod val="75000"/>
                </a:srgbClr>
              </a:solidFill>
              <a:ln w="12700">
                <a:solidFill>
                  <a:sysClr val="window" lastClr="FFFFFF"/>
                </a:solidFill>
              </a:ln>
              <a:effectLst/>
            </c:spPr>
            <c:extLst>
              <c:ext xmlns:c16="http://schemas.microsoft.com/office/drawing/2014/chart" uri="{C3380CC4-5D6E-409C-BE32-E72D297353CC}">
                <c16:uniqueId val="{0000000B-EDE1-420D-A7ED-ABC27FFFFB3E}"/>
              </c:ext>
            </c:extLst>
          </c:dPt>
          <c:dLbls>
            <c:dLbl>
              <c:idx val="0"/>
              <c:layout>
                <c:manualLayout>
                  <c:x val="2.3525381586437907E-2"/>
                  <c:y val="2.937019236231834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DE1-420D-A7ED-ABC27FFFFB3E}"/>
                </c:ext>
              </c:extLst>
            </c:dLbl>
            <c:dLbl>
              <c:idx val="1"/>
              <c:layout>
                <c:manualLayout>
                  <c:x val="9.9982435750348486E-2"/>
                  <c:y val="-1.9014668620967834E-3"/>
                </c:manualLayout>
              </c:layout>
              <c:tx>
                <c:rich>
                  <a:bodyPr/>
                  <a:lstStyle/>
                  <a:p>
                    <a:fld id="{F31F81EE-C8ED-4F09-838D-440F4C2CA383}" type="CATEGORYNAME">
                      <a:rPr lang="en-US">
                        <a:solidFill>
                          <a:schemeClr val="tx1"/>
                        </a:solidFill>
                      </a:rPr>
                      <a:pPr/>
                      <a:t>[CATEGORY NAME]</a:t>
                    </a:fld>
                    <a:r>
                      <a:rPr lang="en-US">
                        <a:solidFill>
                          <a:schemeClr val="tx1"/>
                        </a:solidFill>
                      </a:rPr>
                      <a:t>
</a:t>
                    </a:r>
                    <a:fld id="{7067BF4C-B464-4CE5-94EF-4EF86A8A3F9B}" type="PERCENTAGE">
                      <a:rPr lang="en-US">
                        <a:solidFill>
                          <a:schemeClr val="tx1"/>
                        </a:solidFill>
                      </a:rPr>
                      <a:pPr/>
                      <a:t>[PERCENTAGE]</a:t>
                    </a:fld>
                    <a:endParaRPr lang="en-US">
                      <a:solidFill>
                        <a:schemeClr val="tx1"/>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DE1-420D-A7ED-ABC27FFFFB3E}"/>
                </c:ext>
              </c:extLst>
            </c:dLbl>
            <c:dLbl>
              <c:idx val="3"/>
              <c:layout>
                <c:manualLayout>
                  <c:x val="-8.92251425382459E-2"/>
                  <c:y val="-2.597800274965632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DE1-420D-A7ED-ABC27FFFFB3E}"/>
                </c:ext>
              </c:extLst>
            </c:dLbl>
            <c:dLbl>
              <c:idx val="4"/>
              <c:layout>
                <c:manualLayout>
                  <c:x val="-7.5690704774859952E-2"/>
                  <c:y val="-0.1080987035711445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DE1-420D-A7ED-ABC27FFFFB3E}"/>
                </c:ext>
              </c:extLst>
            </c:dLbl>
            <c:dLbl>
              <c:idx val="5"/>
              <c:layout>
                <c:manualLayout>
                  <c:x val="8.3328288282901508E-2"/>
                  <c:y val="-2.16782561270750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DE1-420D-A7ED-ABC27FFFFB3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'[1]Dataset 1'!$A$6:$A$11</c:f>
              <c:strCache>
                <c:ptCount val="6"/>
                <c:pt idx="0">
                  <c:v>Contracts</c:v>
                </c:pt>
                <c:pt idx="1">
                  <c:v>Employment</c:v>
                </c:pt>
                <c:pt idx="2">
                  <c:v>Goods, Services or Facilities</c:v>
                </c:pt>
                <c:pt idx="3">
                  <c:v>Housing</c:v>
                </c:pt>
                <c:pt idx="4">
                  <c:v>Membership</c:v>
                </c:pt>
                <c:pt idx="5">
                  <c:v>No Social Area identified</c:v>
                </c:pt>
              </c:strCache>
            </c:strRef>
          </c:cat>
          <c:val>
            <c:numRef>
              <c:f>'[1]Dataset 1'!$B$6:$B$11</c:f>
              <c:numCache>
                <c:formatCode>General</c:formatCode>
                <c:ptCount val="6"/>
                <c:pt idx="0">
                  <c:v>7.0000000000000001E-3</c:v>
                </c:pt>
                <c:pt idx="1">
                  <c:v>0.58399999999999996</c:v>
                </c:pt>
                <c:pt idx="2">
                  <c:v>0.23300000000000001</c:v>
                </c:pt>
                <c:pt idx="3">
                  <c:v>0.11</c:v>
                </c:pt>
                <c:pt idx="4">
                  <c:v>0.01</c:v>
                </c:pt>
                <c:pt idx="5">
                  <c:v>5.8999999999999997E-2</c:v>
                </c:pt>
              </c:numCache>
            </c:numRef>
          </c:val>
          <c:extLst>
            <c:ext xmlns:c16="http://schemas.microsoft.com/office/drawing/2014/chart" uri="{C3380CC4-5D6E-409C-BE32-E72D297353CC}">
              <c16:uniqueId val="{0000000C-EDE1-420D-A7ED-ABC27FFFFB3E}"/>
            </c:ext>
          </c:extLst>
        </c:ser>
        <c:dLbls>
          <c:showLegendKey val="0"/>
          <c:showVal val="0"/>
          <c:showCatName val="0"/>
          <c:showSerName val="0"/>
          <c:showPercent val="0"/>
          <c:showBubbleSize val="0"/>
          <c:showLeaderLines val="0"/>
        </c:dLbls>
        <c:firstSliceAng val="55"/>
      </c:pie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ln>
            <a:noFill/>
          </a:ln>
          <a:latin typeface="Tahoma" panose="020B0604030504040204" pitchFamily="34" charset="0"/>
          <a:ea typeface="Tahoma" panose="020B0604030504040204" pitchFamily="34" charset="0"/>
          <a:cs typeface="Tahoma" panose="020B060403050404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US"/>
              <a:t>2024-2025 PROHIBITED GROUNDS NOTED IN INTAKE CALLS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manualLayout>
          <c:layoutTarget val="inner"/>
          <c:xMode val="edge"/>
          <c:yMode val="edge"/>
          <c:x val="0.28312095363079615"/>
          <c:y val="0.37760574458346985"/>
          <c:w val="0.53100306211723536"/>
          <c:h val="0.59579586212312519"/>
        </c:manualLayout>
      </c:layout>
      <c:pieChart>
        <c:varyColors val="1"/>
        <c:ser>
          <c:idx val="0"/>
          <c:order val="0"/>
          <c:spPr>
            <a:ln w="12700">
              <a:solidFill>
                <a:sysClr val="window" lastClr="FFFFFF"/>
              </a:solidFill>
            </a:ln>
          </c:spPr>
          <c:dPt>
            <c:idx val="0"/>
            <c:bubble3D val="0"/>
            <c:spPr>
              <a:solidFill>
                <a:srgbClr val="C5583A"/>
              </a:solidFill>
              <a:ln w="12700">
                <a:solidFill>
                  <a:sysClr val="window" lastClr="FFFFFF"/>
                </a:solidFill>
              </a:ln>
              <a:effectLst/>
            </c:spPr>
            <c:extLst>
              <c:ext xmlns:c16="http://schemas.microsoft.com/office/drawing/2014/chart" uri="{C3380CC4-5D6E-409C-BE32-E72D297353CC}">
                <c16:uniqueId val="{00000001-12BA-4203-A626-83177DD76BDB}"/>
              </c:ext>
            </c:extLst>
          </c:dPt>
          <c:dPt>
            <c:idx val="1"/>
            <c:bubble3D val="0"/>
            <c:spPr>
              <a:solidFill>
                <a:srgbClr val="5D7F8D"/>
              </a:solidFill>
              <a:ln w="12700">
                <a:solidFill>
                  <a:sysClr val="window" lastClr="FFFFFF"/>
                </a:solidFill>
              </a:ln>
              <a:effectLst/>
            </c:spPr>
            <c:extLst>
              <c:ext xmlns:c16="http://schemas.microsoft.com/office/drawing/2014/chart" uri="{C3380CC4-5D6E-409C-BE32-E72D297353CC}">
                <c16:uniqueId val="{00000003-12BA-4203-A626-83177DD76BDB}"/>
              </c:ext>
            </c:extLst>
          </c:dPt>
          <c:dPt>
            <c:idx val="2"/>
            <c:bubble3D val="0"/>
            <c:spPr>
              <a:solidFill>
                <a:srgbClr val="F2C777"/>
              </a:solidFill>
              <a:ln w="12700">
                <a:solidFill>
                  <a:sysClr val="window" lastClr="FFFFFF"/>
                </a:solidFill>
              </a:ln>
              <a:effectLst/>
            </c:spPr>
            <c:extLst>
              <c:ext xmlns:c16="http://schemas.microsoft.com/office/drawing/2014/chart" uri="{C3380CC4-5D6E-409C-BE32-E72D297353CC}">
                <c16:uniqueId val="{00000005-12BA-4203-A626-83177DD76BDB}"/>
              </c:ext>
            </c:extLst>
          </c:dPt>
          <c:dPt>
            <c:idx val="3"/>
            <c:bubble3D val="0"/>
            <c:spPr>
              <a:solidFill>
                <a:schemeClr val="accent4"/>
              </a:solidFill>
              <a:ln w="12700">
                <a:solidFill>
                  <a:sysClr val="window" lastClr="FFFFFF"/>
                </a:solidFill>
              </a:ln>
              <a:effectLst/>
            </c:spPr>
            <c:extLst>
              <c:ext xmlns:c16="http://schemas.microsoft.com/office/drawing/2014/chart" uri="{C3380CC4-5D6E-409C-BE32-E72D297353CC}">
                <c16:uniqueId val="{00000007-12BA-4203-A626-83177DD76BDB}"/>
              </c:ext>
            </c:extLst>
          </c:dPt>
          <c:dPt>
            <c:idx val="4"/>
            <c:bubble3D val="0"/>
            <c:spPr>
              <a:solidFill>
                <a:sysClr val="window" lastClr="FFFFFF">
                  <a:lumMod val="75000"/>
                </a:sysClr>
              </a:solidFill>
              <a:ln w="12700">
                <a:solidFill>
                  <a:sysClr val="window" lastClr="FFFFFF"/>
                </a:solidFill>
              </a:ln>
              <a:effectLst/>
            </c:spPr>
            <c:extLst>
              <c:ext xmlns:c16="http://schemas.microsoft.com/office/drawing/2014/chart" uri="{C3380CC4-5D6E-409C-BE32-E72D297353CC}">
                <c16:uniqueId val="{00000009-12BA-4203-A626-83177DD76BDB}"/>
              </c:ext>
            </c:extLst>
          </c:dPt>
          <c:dLbls>
            <c:dLbl>
              <c:idx val="0"/>
              <c:layout>
                <c:manualLayout>
                  <c:x val="3.0531714785651691E-2"/>
                  <c:y val="-1.1427845751939403E-1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2BA-4203-A626-83177DD76BDB}"/>
                </c:ext>
              </c:extLst>
            </c:dLbl>
            <c:dLbl>
              <c:idx val="1"/>
              <c:layout>
                <c:manualLayout>
                  <c:x val="-6.6648153290752563E-2"/>
                  <c:y val="-2.80373831775700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2BA-4203-A626-83177DD76BDB}"/>
                </c:ext>
              </c:extLst>
            </c:dLbl>
            <c:dLbl>
              <c:idx val="2"/>
              <c:layout>
                <c:manualLayout>
                  <c:x val="-5.1628509800671907E-10"/>
                  <c:y val="-4.67506730141908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48109864391951007"/>
                      <c:h val="0.19924217046501727"/>
                    </c:manualLayout>
                  </c15:layout>
                </c:ext>
                <c:ext xmlns:c16="http://schemas.microsoft.com/office/drawing/2014/chart" uri="{C3380CC4-5D6E-409C-BE32-E72D297353CC}">
                  <c16:uniqueId val="{00000005-12BA-4203-A626-83177DD76BDB}"/>
                </c:ext>
              </c:extLst>
            </c:dLbl>
            <c:dLbl>
              <c:idx val="3"/>
              <c:layout>
                <c:manualLayout>
                  <c:x val="2.5012435485622653E-2"/>
                  <c:y val="-1.088532944143412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40449606299212598"/>
                      <c:h val="0.22078067731014689"/>
                    </c:manualLayout>
                  </c15:layout>
                </c:ext>
                <c:ext xmlns:c16="http://schemas.microsoft.com/office/drawing/2014/chart" uri="{C3380CC4-5D6E-409C-BE32-E72D297353CC}">
                  <c16:uniqueId val="{00000007-12BA-4203-A626-83177DD76BDB}"/>
                </c:ext>
              </c:extLst>
            </c:dLbl>
            <c:dLbl>
              <c:idx val="4"/>
              <c:layout>
                <c:manualLayout>
                  <c:x val="-8.3310191613440703E-3"/>
                  <c:y val="9.345794392523363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2BA-4203-A626-83177DD76BD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'Dataset 1'!$A$5:$A$9</c:f>
              <c:strCache>
                <c:ptCount val="5"/>
                <c:pt idx="0">
                  <c:v>Disability or Perceived Disability</c:v>
                </c:pt>
                <c:pt idx="1">
                  <c:v>Race, Colour, Ancestry, Citizenship, Ethnic Origin, Place of Origin, Creed</c:v>
                </c:pt>
                <c:pt idx="2">
                  <c:v>Sex/Gender, Family and Marital Status, Pregnancy, Sexual Harassment, Gender Identity and Expression, Sexual Orientation</c:v>
                </c:pt>
                <c:pt idx="3">
                  <c:v>Other Grounds : Association, Age, Receipt of Public Assistance, Record of Offence, Reprisal or Threat of Reprisal</c:v>
                </c:pt>
                <c:pt idx="4">
                  <c:v>No Ground Identified</c:v>
                </c:pt>
              </c:strCache>
            </c:strRef>
          </c:cat>
          <c:val>
            <c:numRef>
              <c:f>'Dataset 1'!$B$5:$B$9</c:f>
              <c:numCache>
                <c:formatCode>0%</c:formatCode>
                <c:ptCount val="5"/>
                <c:pt idx="0">
                  <c:v>0.39</c:v>
                </c:pt>
                <c:pt idx="1">
                  <c:v>0.26</c:v>
                </c:pt>
                <c:pt idx="2">
                  <c:v>0.15</c:v>
                </c:pt>
                <c:pt idx="3">
                  <c:v>0.09</c:v>
                </c:pt>
                <c:pt idx="4">
                  <c:v>0.11</c:v>
                </c:pt>
              </c:numCache>
            </c:numRef>
          </c:val>
          <c:extLst>
            <c:ext xmlns:c16="http://schemas.microsoft.com/office/drawing/2014/chart" uri="{C3380CC4-5D6E-409C-BE32-E72D297353CC}">
              <c16:uniqueId val="{0000000A-12BA-4203-A626-83177DD76BDB}"/>
            </c:ext>
          </c:extLst>
        </c:ser>
        <c:dLbls>
          <c:showLegendKey val="0"/>
          <c:showVal val="0"/>
          <c:showCatName val="0"/>
          <c:showSerName val="0"/>
          <c:showPercent val="0"/>
          <c:showBubbleSize val="0"/>
          <c:showLeaderLines val="0"/>
        </c:dLbls>
        <c:firstSliceAng val="68"/>
      </c:pieChart>
      <c:spPr>
        <a:noFill/>
        <a:ln w="127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ahoma" panose="020B0604030504040204" pitchFamily="34" charset="0"/>
                <a:ea typeface="Tahoma" panose="020B0604030504040204" pitchFamily="34" charset="0"/>
                <a:cs typeface="Tahoma" panose="020B0604030504040204" pitchFamily="34" charset="0"/>
              </a:rPr>
              <a:t>ALL</a:t>
            </a:r>
            <a:r>
              <a:rPr lang="en-US" baseline="0">
                <a:latin typeface="Tahoma" panose="020B0604030504040204" pitchFamily="34" charset="0"/>
                <a:ea typeface="Tahoma" panose="020B0604030504040204" pitchFamily="34" charset="0"/>
                <a:cs typeface="Tahoma" panose="020B0604030504040204" pitchFamily="34" charset="0"/>
              </a:rPr>
              <a:t> INTAKE CALLS</a:t>
            </a:r>
            <a:endParaRPr lang="en-US">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'All Intake Calls'!$A$2</c:f>
              <c:strCache>
                <c:ptCount val="1"/>
                <c:pt idx="0">
                  <c:v>Entered</c:v>
                </c:pt>
              </c:strCache>
            </c:strRef>
          </c:tx>
          <c:spPr>
            <a:solidFill>
              <a:srgbClr val="5D7F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Intake Calls'!$B$1:$D$1</c:f>
              <c:strCache>
                <c:ptCount val="3"/>
                <c:pt idx="0">
                  <c:v>2022/23</c:v>
                </c:pt>
                <c:pt idx="1">
                  <c:v>2023/24</c:v>
                </c:pt>
                <c:pt idx="2">
                  <c:v>2024/25</c:v>
                </c:pt>
              </c:strCache>
            </c:strRef>
          </c:cat>
          <c:val>
            <c:numRef>
              <c:f>'All Intake Calls'!$B$2:$D$2</c:f>
              <c:numCache>
                <c:formatCode>#,##0</c:formatCode>
                <c:ptCount val="3"/>
                <c:pt idx="0">
                  <c:v>21488</c:v>
                </c:pt>
                <c:pt idx="1">
                  <c:v>23134</c:v>
                </c:pt>
                <c:pt idx="2">
                  <c:v>27160</c:v>
                </c:pt>
              </c:numCache>
            </c:numRef>
          </c:val>
          <c:extLst>
            <c:ext xmlns:c16="http://schemas.microsoft.com/office/drawing/2014/chart" uri="{C3380CC4-5D6E-409C-BE32-E72D297353CC}">
              <c16:uniqueId val="{00000000-AD40-44E8-AB3C-58C8748C7BA8}"/>
            </c:ext>
          </c:extLst>
        </c:ser>
        <c:ser>
          <c:idx val="1"/>
          <c:order val="1"/>
          <c:tx>
            <c:strRef>
              <c:f>'All Intake Calls'!$A$3</c:f>
              <c:strCache>
                <c:ptCount val="1"/>
                <c:pt idx="0">
                  <c:v>Accepted</c:v>
                </c:pt>
              </c:strCache>
            </c:strRef>
          </c:tx>
          <c:spPr>
            <a:solidFill>
              <a:srgbClr val="C5583A"/>
            </a:solidFill>
            <a:ln>
              <a:noFill/>
            </a:ln>
            <a:effectLst/>
          </c:spPr>
          <c:invertIfNegative val="0"/>
          <c:dLbls>
            <c:dLbl>
              <c:idx val="0"/>
              <c:layout>
                <c:manualLayout>
                  <c:x val="2.60841212911639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5F-46AD-881D-35712B6D3B05}"/>
                </c:ext>
              </c:extLst>
            </c:dLbl>
            <c:dLbl>
              <c:idx val="1"/>
              <c:layout>
                <c:manualLayout>
                  <c:x val="2.2823606129768383E-2"/>
                  <c:y val="-3.963061294325289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5F-46AD-881D-35712B6D3B05}"/>
                </c:ext>
              </c:extLst>
            </c:dLbl>
            <c:dLbl>
              <c:idx val="2"/>
              <c:layout>
                <c:manualLayout>
                  <c:x val="3.2605151613954886E-2"/>
                  <c:y val="-4.32338953739731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5F-46AD-881D-35712B6D3B0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Intake Calls'!$B$1:$D$1</c:f>
              <c:strCache>
                <c:ptCount val="3"/>
                <c:pt idx="0">
                  <c:v>2022/23</c:v>
                </c:pt>
                <c:pt idx="1">
                  <c:v>2023/24</c:v>
                </c:pt>
                <c:pt idx="2">
                  <c:v>2024/25</c:v>
                </c:pt>
              </c:strCache>
            </c:strRef>
          </c:cat>
          <c:val>
            <c:numRef>
              <c:f>'All Intake Calls'!$B$3:$D$3</c:f>
              <c:numCache>
                <c:formatCode>#,##0</c:formatCode>
                <c:ptCount val="3"/>
                <c:pt idx="0">
                  <c:v>18721</c:v>
                </c:pt>
                <c:pt idx="1">
                  <c:v>20460</c:v>
                </c:pt>
                <c:pt idx="2">
                  <c:v>23823</c:v>
                </c:pt>
              </c:numCache>
            </c:numRef>
          </c:val>
          <c:extLst>
            <c:ext xmlns:c16="http://schemas.microsoft.com/office/drawing/2014/chart" uri="{C3380CC4-5D6E-409C-BE32-E72D297353CC}">
              <c16:uniqueId val="{00000001-AD40-44E8-AB3C-58C8748C7BA8}"/>
            </c:ext>
          </c:extLst>
        </c:ser>
        <c:dLbls>
          <c:showLegendKey val="0"/>
          <c:showVal val="0"/>
          <c:showCatName val="0"/>
          <c:showSerName val="0"/>
          <c:showPercent val="0"/>
          <c:showBubbleSize val="0"/>
        </c:dLbls>
        <c:gapWidth val="219"/>
        <c:overlap val="-27"/>
        <c:axId val="810317112"/>
        <c:axId val="810312072"/>
      </c:barChart>
      <c:catAx>
        <c:axId val="810317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810312072"/>
        <c:crosses val="autoZero"/>
        <c:auto val="1"/>
        <c:lblAlgn val="ctr"/>
        <c:lblOffset val="100"/>
        <c:noMultiLvlLbl val="0"/>
      </c:catAx>
      <c:valAx>
        <c:axId val="810312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US" strike="noStrike">
                    <a:latin typeface="Tahoma" panose="020B0604030504040204" pitchFamily="34" charset="0"/>
                    <a:ea typeface="Tahoma" panose="020B0604030504040204" pitchFamily="34" charset="0"/>
                    <a:cs typeface="Tahoma" panose="020B0604030504040204" pitchFamily="34" charset="0"/>
                  </a:rPr>
                  <a:t>Number</a:t>
                </a:r>
                <a:r>
                  <a:rPr lang="en-US" strike="noStrike" baseline="0">
                    <a:latin typeface="Tahoma" panose="020B0604030504040204" pitchFamily="34" charset="0"/>
                    <a:ea typeface="Tahoma" panose="020B0604030504040204" pitchFamily="34" charset="0"/>
                    <a:cs typeface="Tahoma" panose="020B0604030504040204" pitchFamily="34" charset="0"/>
                  </a:rPr>
                  <a:t> of Calls</a:t>
                </a:r>
                <a:endParaRPr lang="en-US" strike="noStrike">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810317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US" sz="1400" b="0">
                <a:latin typeface="Tahoma" panose="020B0604030504040204" pitchFamily="34" charset="0"/>
                <a:ea typeface="Tahoma" panose="020B0604030504040204" pitchFamily="34" charset="0"/>
                <a:cs typeface="Tahoma" panose="020B0604030504040204" pitchFamily="34" charset="0"/>
              </a:rPr>
              <a:t>INTAKE</a:t>
            </a:r>
            <a:r>
              <a:rPr lang="en-US" sz="1400" b="0" baseline="0">
                <a:latin typeface="Tahoma" panose="020B0604030504040204" pitchFamily="34" charset="0"/>
                <a:ea typeface="Tahoma" panose="020B0604030504040204" pitchFamily="34" charset="0"/>
                <a:cs typeface="Tahoma" panose="020B0604030504040204" pitchFamily="34" charset="0"/>
              </a:rPr>
              <a:t> CALLS (RECEIVED)</a:t>
            </a:r>
          </a:p>
          <a:p>
            <a:pPr>
              <a:defRPr>
                <a:latin typeface="Tahoma" panose="020B0604030504040204" pitchFamily="34" charset="0"/>
                <a:ea typeface="Tahoma" panose="020B0604030504040204" pitchFamily="34" charset="0"/>
                <a:cs typeface="Tahoma" panose="020B0604030504040204" pitchFamily="34" charset="0"/>
              </a:defRPr>
            </a:pPr>
            <a:r>
              <a:rPr lang="en-US" sz="1400" b="0" baseline="0">
                <a:latin typeface="Tahoma" panose="020B0604030504040204" pitchFamily="34" charset="0"/>
                <a:ea typeface="Tahoma" panose="020B0604030504040204" pitchFamily="34" charset="0"/>
                <a:cs typeface="Tahoma" panose="020B0604030504040204" pitchFamily="34" charset="0"/>
              </a:rPr>
              <a:t>2024-25 COMPARED TO PREVIOUS 5 YEARS</a:t>
            </a:r>
            <a:endParaRPr lang="en-US" sz="1400" b="0">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barChart>
        <c:barDir val="col"/>
        <c:grouping val="clustered"/>
        <c:varyColors val="0"/>
        <c:ser>
          <c:idx val="0"/>
          <c:order val="0"/>
          <c:tx>
            <c:strRef>
              <c:f>'2024-25 intakes vs. previous 5'!$A$2</c:f>
              <c:strCache>
                <c:ptCount val="1"/>
                <c:pt idx="0">
                  <c:v>Entered</c:v>
                </c:pt>
              </c:strCache>
            </c:strRef>
          </c:tx>
          <c:spPr>
            <a:solidFill>
              <a:srgbClr val="5D7F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'2024-25 intakes vs. previous 5'!$B$1:$C$1</c:f>
              <c:strCache>
                <c:ptCount val="2"/>
                <c:pt idx="0">
                  <c:v>2019/20 to 2023/24 (5 Year Avg.) </c:v>
                </c:pt>
                <c:pt idx="1">
                  <c:v>2024/25</c:v>
                </c:pt>
              </c:strCache>
            </c:strRef>
          </c:cat>
          <c:val>
            <c:numRef>
              <c:f>'2024-25 intakes vs. previous 5'!$B$2:$C$2</c:f>
              <c:numCache>
                <c:formatCode>#,##0</c:formatCode>
                <c:ptCount val="2"/>
                <c:pt idx="0">
                  <c:v>23665</c:v>
                </c:pt>
                <c:pt idx="1">
                  <c:v>27160</c:v>
                </c:pt>
              </c:numCache>
            </c:numRef>
          </c:val>
          <c:extLst>
            <c:ext xmlns:c16="http://schemas.microsoft.com/office/drawing/2014/chart" uri="{C3380CC4-5D6E-409C-BE32-E72D297353CC}">
              <c16:uniqueId val="{00000000-D1E7-4F05-BA21-043E79F54694}"/>
            </c:ext>
          </c:extLst>
        </c:ser>
        <c:dLbls>
          <c:showLegendKey val="0"/>
          <c:showVal val="0"/>
          <c:showCatName val="0"/>
          <c:showSerName val="0"/>
          <c:showPercent val="0"/>
          <c:showBubbleSize val="0"/>
        </c:dLbls>
        <c:gapWidth val="300"/>
        <c:overlap val="-27"/>
        <c:axId val="532542096"/>
        <c:axId val="532540656"/>
      </c:barChart>
      <c:catAx>
        <c:axId val="53254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32540656"/>
        <c:crosses val="autoZero"/>
        <c:auto val="1"/>
        <c:lblAlgn val="ctr"/>
        <c:lblOffset val="100"/>
        <c:noMultiLvlLbl val="0"/>
      </c:catAx>
      <c:valAx>
        <c:axId val="532540656"/>
        <c:scaling>
          <c:orientation val="minMax"/>
          <c:min val="2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CA">
                    <a:latin typeface="Tahoma" panose="020B0604030504040204" pitchFamily="34" charset="0"/>
                    <a:ea typeface="Tahoma" panose="020B0604030504040204" pitchFamily="34" charset="0"/>
                    <a:cs typeface="Tahoma" panose="020B0604030504040204" pitchFamily="34" charset="0"/>
                  </a:rPr>
                  <a:t>Number</a:t>
                </a:r>
                <a:r>
                  <a:rPr lang="en-CA" baseline="0">
                    <a:latin typeface="Tahoma" panose="020B0604030504040204" pitchFamily="34" charset="0"/>
                    <a:ea typeface="Tahoma" panose="020B0604030504040204" pitchFamily="34" charset="0"/>
                    <a:cs typeface="Tahoma" panose="020B0604030504040204" pitchFamily="34" charset="0"/>
                  </a:rPr>
                  <a:t> of Calls</a:t>
                </a:r>
                <a:endParaRPr lang="en-CA">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CA"/>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32542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FRENCH</a:t>
            </a:r>
            <a:r>
              <a:rPr lang="en-US" baseline="0"/>
              <a:t> SERVICES CALLS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'French Services Calls'!$A$2</c:f>
              <c:strCache>
                <c:ptCount val="1"/>
                <c:pt idx="0">
                  <c:v>Entered</c:v>
                </c:pt>
              </c:strCache>
            </c:strRef>
          </c:tx>
          <c:spPr>
            <a:solidFill>
              <a:srgbClr val="5D7F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'French Services Calls'!$B$1:$D$1</c:f>
              <c:strCache>
                <c:ptCount val="3"/>
                <c:pt idx="0">
                  <c:v>2022/23</c:v>
                </c:pt>
                <c:pt idx="1">
                  <c:v>2023/24</c:v>
                </c:pt>
                <c:pt idx="2">
                  <c:v>2024/25</c:v>
                </c:pt>
              </c:strCache>
            </c:strRef>
          </c:cat>
          <c:val>
            <c:numRef>
              <c:f>'French Services Calls'!$B$2:$D$2</c:f>
              <c:numCache>
                <c:formatCode>General</c:formatCode>
                <c:ptCount val="3"/>
                <c:pt idx="0">
                  <c:v>91</c:v>
                </c:pt>
                <c:pt idx="1">
                  <c:v>140</c:v>
                </c:pt>
                <c:pt idx="2">
                  <c:v>163</c:v>
                </c:pt>
              </c:numCache>
            </c:numRef>
          </c:val>
          <c:extLst>
            <c:ext xmlns:c16="http://schemas.microsoft.com/office/drawing/2014/chart" uri="{C3380CC4-5D6E-409C-BE32-E72D297353CC}">
              <c16:uniqueId val="{00000000-685F-4079-8CAF-4089AD95AB2C}"/>
            </c:ext>
          </c:extLst>
        </c:ser>
        <c:ser>
          <c:idx val="1"/>
          <c:order val="1"/>
          <c:tx>
            <c:strRef>
              <c:f>'French Services Calls'!$A$3</c:f>
              <c:strCache>
                <c:ptCount val="1"/>
                <c:pt idx="0">
                  <c:v>Accepted</c:v>
                </c:pt>
              </c:strCache>
            </c:strRef>
          </c:tx>
          <c:spPr>
            <a:solidFill>
              <a:srgbClr val="C558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'French Services Calls'!$B$1:$D$1</c:f>
              <c:strCache>
                <c:ptCount val="3"/>
                <c:pt idx="0">
                  <c:v>2022/23</c:v>
                </c:pt>
                <c:pt idx="1">
                  <c:v>2023/24</c:v>
                </c:pt>
                <c:pt idx="2">
                  <c:v>2024/25</c:v>
                </c:pt>
              </c:strCache>
            </c:strRef>
          </c:cat>
          <c:val>
            <c:numRef>
              <c:f>'French Services Calls'!$B$3:$D$3</c:f>
              <c:numCache>
                <c:formatCode>General</c:formatCode>
                <c:ptCount val="3"/>
                <c:pt idx="0">
                  <c:v>68</c:v>
                </c:pt>
                <c:pt idx="1">
                  <c:v>84</c:v>
                </c:pt>
                <c:pt idx="2">
                  <c:v>135</c:v>
                </c:pt>
              </c:numCache>
            </c:numRef>
          </c:val>
          <c:extLst>
            <c:ext xmlns:c16="http://schemas.microsoft.com/office/drawing/2014/chart" uri="{C3380CC4-5D6E-409C-BE32-E72D297353CC}">
              <c16:uniqueId val="{00000001-685F-4079-8CAF-4089AD95AB2C}"/>
            </c:ext>
          </c:extLst>
        </c:ser>
        <c:dLbls>
          <c:showLegendKey val="0"/>
          <c:showVal val="0"/>
          <c:showCatName val="0"/>
          <c:showSerName val="0"/>
          <c:showPercent val="0"/>
          <c:showBubbleSize val="0"/>
        </c:dLbls>
        <c:gapWidth val="219"/>
        <c:overlap val="-27"/>
        <c:axId val="562112840"/>
        <c:axId val="562121480"/>
      </c:barChart>
      <c:lineChart>
        <c:grouping val="standard"/>
        <c:varyColors val="0"/>
        <c:ser>
          <c:idx val="2"/>
          <c:order val="2"/>
          <c:tx>
            <c:strRef>
              <c:f>'French Services Calls'!$A$4</c:f>
              <c:strCache>
                <c:ptCount val="1"/>
                <c:pt idx="0">
                  <c:v>Percent Accepted </c:v>
                </c:pt>
              </c:strCache>
            </c:strRef>
          </c:tx>
          <c:spPr>
            <a:ln w="28575" cap="rnd">
              <a:solidFill>
                <a:srgbClr val="F2C777"/>
              </a:solidFill>
              <a:round/>
            </a:ln>
            <a:effectLst/>
          </c:spPr>
          <c:marker>
            <c:symbol val="circle"/>
            <c:size val="5"/>
            <c:spPr>
              <a:solidFill>
                <a:srgbClr val="F2C777"/>
              </a:solidFill>
              <a:ln w="9525">
                <a:noFill/>
              </a:ln>
              <a:effectLst/>
            </c:spPr>
          </c:marker>
          <c:cat>
            <c:strRef>
              <c:f>'French Services Calls'!$B$1:$D$1</c:f>
              <c:strCache>
                <c:ptCount val="3"/>
                <c:pt idx="0">
                  <c:v>2022/23</c:v>
                </c:pt>
                <c:pt idx="1">
                  <c:v>2023/24</c:v>
                </c:pt>
                <c:pt idx="2">
                  <c:v>2024/25</c:v>
                </c:pt>
              </c:strCache>
            </c:strRef>
          </c:cat>
          <c:val>
            <c:numRef>
              <c:f>'French Services Calls'!$B$4:$D$4</c:f>
              <c:numCache>
                <c:formatCode>0%</c:formatCode>
                <c:ptCount val="3"/>
                <c:pt idx="0">
                  <c:v>0.75</c:v>
                </c:pt>
                <c:pt idx="1">
                  <c:v>0.6</c:v>
                </c:pt>
                <c:pt idx="2">
                  <c:v>0.83</c:v>
                </c:pt>
              </c:numCache>
            </c:numRef>
          </c:val>
          <c:smooth val="0"/>
          <c:extLst>
            <c:ext xmlns:c16="http://schemas.microsoft.com/office/drawing/2014/chart" uri="{C3380CC4-5D6E-409C-BE32-E72D297353CC}">
              <c16:uniqueId val="{00000002-685F-4079-8CAF-4089AD95AB2C}"/>
            </c:ext>
          </c:extLst>
        </c:ser>
        <c:dLbls>
          <c:showLegendKey val="0"/>
          <c:showVal val="0"/>
          <c:showCatName val="0"/>
          <c:showSerName val="0"/>
          <c:showPercent val="0"/>
          <c:showBubbleSize val="0"/>
        </c:dLbls>
        <c:marker val="1"/>
        <c:smooth val="0"/>
        <c:axId val="559440584"/>
        <c:axId val="559439144"/>
      </c:lineChart>
      <c:catAx>
        <c:axId val="562112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121480"/>
        <c:crosses val="autoZero"/>
        <c:auto val="1"/>
        <c:lblAlgn val="ctr"/>
        <c:lblOffset val="100"/>
        <c:noMultiLvlLbl val="0"/>
      </c:catAx>
      <c:valAx>
        <c:axId val="562121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b" anchorCtr="0"/>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Calls</a:t>
                </a:r>
                <a:endParaRPr lang="en-US"/>
              </a:p>
            </c:rich>
          </c:tx>
          <c:overlay val="0"/>
          <c:spPr>
            <a:noFill/>
            <a:ln>
              <a:noFill/>
            </a:ln>
            <a:effectLst/>
          </c:spPr>
          <c:txPr>
            <a:bodyPr rot="-5400000" spcFirstLastPara="1" vertOverflow="ellipsis" vert="horz" wrap="square" anchor="b"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112840"/>
        <c:crosses val="autoZero"/>
        <c:crossBetween val="between"/>
      </c:valAx>
      <c:valAx>
        <c:axId val="559439144"/>
        <c:scaling>
          <c:orientation val="minMax"/>
          <c:min val="0.4"/>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r>
                  <a:rPr lang="en-US" baseline="0"/>
                  <a:t> of Calls Accepted</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40584"/>
        <c:crosses val="max"/>
        <c:crossBetween val="between"/>
      </c:valAx>
      <c:catAx>
        <c:axId val="559440584"/>
        <c:scaling>
          <c:orientation val="minMax"/>
        </c:scaling>
        <c:delete val="1"/>
        <c:axPos val="b"/>
        <c:numFmt formatCode="General" sourceLinked="1"/>
        <c:majorTickMark val="out"/>
        <c:minorTickMark val="none"/>
        <c:tickLblPos val="nextTo"/>
        <c:crossAx val="5594391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US">
                <a:latin typeface="Tahoma" panose="020B0604030504040204" pitchFamily="34" charset="0"/>
                <a:ea typeface="Tahoma" panose="020B0604030504040204" pitchFamily="34" charset="0"/>
                <a:cs typeface="Tahoma" panose="020B0604030504040204" pitchFamily="34" charset="0"/>
              </a:rPr>
              <a:t>ISOC SERVICE</a:t>
            </a:r>
            <a:r>
              <a:rPr lang="en-US" baseline="0">
                <a:latin typeface="Tahoma" panose="020B0604030504040204" pitchFamily="34" charset="0"/>
                <a:ea typeface="Tahoma" panose="020B0604030504040204" pitchFamily="34" charset="0"/>
                <a:cs typeface="Tahoma" panose="020B0604030504040204" pitchFamily="34" charset="0"/>
              </a:rPr>
              <a:t> CALLS</a:t>
            </a:r>
            <a:endParaRPr lang="en-US">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barChart>
        <c:barDir val="col"/>
        <c:grouping val="clustered"/>
        <c:varyColors val="0"/>
        <c:ser>
          <c:idx val="0"/>
          <c:order val="0"/>
          <c:tx>
            <c:strRef>
              <c:f>'ISOC Service Calls'!$A$2</c:f>
              <c:strCache>
                <c:ptCount val="1"/>
                <c:pt idx="0">
                  <c:v>Entered</c:v>
                </c:pt>
              </c:strCache>
            </c:strRef>
          </c:tx>
          <c:spPr>
            <a:solidFill>
              <a:srgbClr val="5D7F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'ISOC Service Calls'!$B$1:$D$1</c:f>
              <c:strCache>
                <c:ptCount val="3"/>
                <c:pt idx="0">
                  <c:v>2022/23</c:v>
                </c:pt>
                <c:pt idx="1">
                  <c:v>2023/24</c:v>
                </c:pt>
                <c:pt idx="2">
                  <c:v>2024/25</c:v>
                </c:pt>
              </c:strCache>
            </c:strRef>
          </c:cat>
          <c:val>
            <c:numRef>
              <c:f>'ISOC Service Calls'!$B$2:$D$2</c:f>
              <c:numCache>
                <c:formatCode>General</c:formatCode>
                <c:ptCount val="3"/>
                <c:pt idx="0">
                  <c:v>691</c:v>
                </c:pt>
                <c:pt idx="1">
                  <c:v>936</c:v>
                </c:pt>
                <c:pt idx="2">
                  <c:v>957</c:v>
                </c:pt>
              </c:numCache>
            </c:numRef>
          </c:val>
          <c:extLst>
            <c:ext xmlns:c16="http://schemas.microsoft.com/office/drawing/2014/chart" uri="{C3380CC4-5D6E-409C-BE32-E72D297353CC}">
              <c16:uniqueId val="{00000000-9735-473F-BA1F-59E9FF246B29}"/>
            </c:ext>
          </c:extLst>
        </c:ser>
        <c:ser>
          <c:idx val="1"/>
          <c:order val="1"/>
          <c:tx>
            <c:strRef>
              <c:f>'ISOC Service Calls'!$A$3</c:f>
              <c:strCache>
                <c:ptCount val="1"/>
                <c:pt idx="0">
                  <c:v>Accepted</c:v>
                </c:pt>
              </c:strCache>
            </c:strRef>
          </c:tx>
          <c:spPr>
            <a:solidFill>
              <a:srgbClr val="C5583A"/>
            </a:solidFill>
            <a:ln>
              <a:noFill/>
            </a:ln>
            <a:effectLst/>
          </c:spPr>
          <c:invertIfNegative val="0"/>
          <c:dLbls>
            <c:dLbl>
              <c:idx val="1"/>
              <c:layout>
                <c:manualLayout>
                  <c:x val="0"/>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FD-4334-9AC9-2D4872AB9D8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'ISOC Service Calls'!$B$1:$D$1</c:f>
              <c:strCache>
                <c:ptCount val="3"/>
                <c:pt idx="0">
                  <c:v>2022/23</c:v>
                </c:pt>
                <c:pt idx="1">
                  <c:v>2023/24</c:v>
                </c:pt>
                <c:pt idx="2">
                  <c:v>2024/25</c:v>
                </c:pt>
              </c:strCache>
            </c:strRef>
          </c:cat>
          <c:val>
            <c:numRef>
              <c:f>'ISOC Service Calls'!$B$3:$D$3</c:f>
              <c:numCache>
                <c:formatCode>General</c:formatCode>
                <c:ptCount val="3"/>
                <c:pt idx="0">
                  <c:v>595</c:v>
                </c:pt>
                <c:pt idx="1">
                  <c:v>800</c:v>
                </c:pt>
                <c:pt idx="2">
                  <c:v>822</c:v>
                </c:pt>
              </c:numCache>
            </c:numRef>
          </c:val>
          <c:extLst>
            <c:ext xmlns:c16="http://schemas.microsoft.com/office/drawing/2014/chart" uri="{C3380CC4-5D6E-409C-BE32-E72D297353CC}">
              <c16:uniqueId val="{00000001-9735-473F-BA1F-59E9FF246B29}"/>
            </c:ext>
          </c:extLst>
        </c:ser>
        <c:dLbls>
          <c:showLegendKey val="0"/>
          <c:showVal val="0"/>
          <c:showCatName val="0"/>
          <c:showSerName val="0"/>
          <c:showPercent val="0"/>
          <c:showBubbleSize val="0"/>
        </c:dLbls>
        <c:gapWidth val="219"/>
        <c:overlap val="-27"/>
        <c:axId val="637522616"/>
        <c:axId val="637519016"/>
      </c:barChart>
      <c:lineChart>
        <c:grouping val="standard"/>
        <c:varyColors val="0"/>
        <c:ser>
          <c:idx val="2"/>
          <c:order val="2"/>
          <c:tx>
            <c:strRef>
              <c:f>'ISOC Service Calls'!$A$4</c:f>
              <c:strCache>
                <c:ptCount val="1"/>
                <c:pt idx="0">
                  <c:v>Percent Accepted </c:v>
                </c:pt>
              </c:strCache>
            </c:strRef>
          </c:tx>
          <c:spPr>
            <a:ln w="28575" cap="rnd">
              <a:solidFill>
                <a:srgbClr val="F2C777"/>
              </a:solidFill>
              <a:round/>
            </a:ln>
            <a:effectLst/>
          </c:spPr>
          <c:marker>
            <c:symbol val="square"/>
            <c:size val="5"/>
            <c:spPr>
              <a:solidFill>
                <a:srgbClr val="F2C777"/>
              </a:solidFill>
              <a:ln w="9525">
                <a:noFill/>
              </a:ln>
              <a:effectLst/>
            </c:spPr>
          </c:marker>
          <c:cat>
            <c:strRef>
              <c:f>'ISOC Service Calls'!$B$1:$D$1</c:f>
              <c:strCache>
                <c:ptCount val="3"/>
                <c:pt idx="0">
                  <c:v>2022/23</c:v>
                </c:pt>
                <c:pt idx="1">
                  <c:v>2023/24</c:v>
                </c:pt>
                <c:pt idx="2">
                  <c:v>2024/25</c:v>
                </c:pt>
              </c:strCache>
            </c:strRef>
          </c:cat>
          <c:val>
            <c:numRef>
              <c:f>'ISOC Service Calls'!$B$4:$D$4</c:f>
              <c:numCache>
                <c:formatCode>0%</c:formatCode>
                <c:ptCount val="3"/>
                <c:pt idx="0">
                  <c:v>0.86</c:v>
                </c:pt>
                <c:pt idx="1">
                  <c:v>0.85</c:v>
                </c:pt>
                <c:pt idx="2">
                  <c:v>0.86</c:v>
                </c:pt>
              </c:numCache>
            </c:numRef>
          </c:val>
          <c:smooth val="0"/>
          <c:extLst>
            <c:ext xmlns:c16="http://schemas.microsoft.com/office/drawing/2014/chart" uri="{C3380CC4-5D6E-409C-BE32-E72D297353CC}">
              <c16:uniqueId val="{00000002-9735-473F-BA1F-59E9FF246B29}"/>
            </c:ext>
          </c:extLst>
        </c:ser>
        <c:dLbls>
          <c:showLegendKey val="0"/>
          <c:showVal val="0"/>
          <c:showCatName val="0"/>
          <c:showSerName val="0"/>
          <c:showPercent val="0"/>
          <c:showBubbleSize val="0"/>
        </c:dLbls>
        <c:marker val="1"/>
        <c:smooth val="0"/>
        <c:axId val="637529456"/>
        <c:axId val="637526936"/>
      </c:lineChart>
      <c:catAx>
        <c:axId val="637522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519016"/>
        <c:crosses val="autoZero"/>
        <c:auto val="1"/>
        <c:lblAlgn val="ctr"/>
        <c:lblOffset val="100"/>
        <c:noMultiLvlLbl val="0"/>
      </c:catAx>
      <c:valAx>
        <c:axId val="637519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Number</a:t>
                </a:r>
                <a:r>
                  <a:rPr lang="en-CA" baseline="0"/>
                  <a:t> of Calls</a:t>
                </a:r>
                <a:endParaRPr lang="en-C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522616"/>
        <c:crosses val="autoZero"/>
        <c:crossBetween val="between"/>
      </c:valAx>
      <c:valAx>
        <c:axId val="637526936"/>
        <c:scaling>
          <c:orientation val="minMax"/>
          <c:max val="0.87000000000000011"/>
          <c:min val="0.8"/>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Percent</a:t>
                </a:r>
                <a:r>
                  <a:rPr lang="en-CA" baseline="0"/>
                  <a:t> of Calls Accepted</a:t>
                </a:r>
                <a:endParaRPr lang="en-C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A"/>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529456"/>
        <c:crosses val="max"/>
        <c:crossBetween val="between"/>
      </c:valAx>
      <c:catAx>
        <c:axId val="637529456"/>
        <c:scaling>
          <c:orientation val="minMax"/>
        </c:scaling>
        <c:delete val="1"/>
        <c:axPos val="b"/>
        <c:numFmt formatCode="General" sourceLinked="1"/>
        <c:majorTickMark val="none"/>
        <c:minorTickMark val="none"/>
        <c:tickLblPos val="nextTo"/>
        <c:crossAx val="637526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CALLS</a:t>
            </a:r>
            <a:r>
              <a:rPr lang="en-US" baseline="0"/>
              <a:t> FROM INDIVIDUALS IN </a:t>
            </a:r>
          </a:p>
          <a:p>
            <a:pPr>
              <a:defRPr/>
            </a:pPr>
            <a:r>
              <a:rPr lang="en-US" baseline="0"/>
              <a:t>CORRECTIONAL FACILITIES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'Individuals in Correctional Fac'!$A$2</c:f>
              <c:strCache>
                <c:ptCount val="1"/>
                <c:pt idx="0">
                  <c:v>Entered</c:v>
                </c:pt>
              </c:strCache>
            </c:strRef>
          </c:tx>
          <c:spPr>
            <a:solidFill>
              <a:srgbClr val="5D7F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'Individuals in Correctional Fac'!$B$1:$D$1</c:f>
              <c:strCache>
                <c:ptCount val="3"/>
                <c:pt idx="0">
                  <c:v>2022/23</c:v>
                </c:pt>
                <c:pt idx="1">
                  <c:v>2023/24</c:v>
                </c:pt>
                <c:pt idx="2">
                  <c:v>2024/25</c:v>
                </c:pt>
              </c:strCache>
            </c:strRef>
          </c:cat>
          <c:val>
            <c:numRef>
              <c:f>'Individuals in Correctional Fac'!$B$2:$D$2</c:f>
              <c:numCache>
                <c:formatCode>General</c:formatCode>
                <c:ptCount val="3"/>
                <c:pt idx="0">
                  <c:v>174</c:v>
                </c:pt>
                <c:pt idx="1">
                  <c:v>298</c:v>
                </c:pt>
                <c:pt idx="2">
                  <c:v>201</c:v>
                </c:pt>
              </c:numCache>
            </c:numRef>
          </c:val>
          <c:extLst>
            <c:ext xmlns:c16="http://schemas.microsoft.com/office/drawing/2014/chart" uri="{C3380CC4-5D6E-409C-BE32-E72D297353CC}">
              <c16:uniqueId val="{00000000-3BD9-409C-90DE-5F04B0735E3E}"/>
            </c:ext>
          </c:extLst>
        </c:ser>
        <c:ser>
          <c:idx val="1"/>
          <c:order val="1"/>
          <c:tx>
            <c:strRef>
              <c:f>'Individuals in Correctional Fac'!$A$3</c:f>
              <c:strCache>
                <c:ptCount val="1"/>
                <c:pt idx="0">
                  <c:v>Accepted</c:v>
                </c:pt>
              </c:strCache>
            </c:strRef>
          </c:tx>
          <c:spPr>
            <a:solidFill>
              <a:srgbClr val="C5583A"/>
            </a:solidFill>
            <a:ln>
              <a:noFill/>
            </a:ln>
            <a:effectLst/>
          </c:spPr>
          <c:invertIfNegative val="0"/>
          <c:dLbls>
            <c:dLbl>
              <c:idx val="0"/>
              <c:layout>
                <c:manualLayout>
                  <c:x val="0"/>
                  <c:y val="-4.9999229014513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A5-477E-8311-8BE7F18CD3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'Individuals in Correctional Fac'!$B$1:$D$1</c:f>
              <c:strCache>
                <c:ptCount val="3"/>
                <c:pt idx="0">
                  <c:v>2022/23</c:v>
                </c:pt>
                <c:pt idx="1">
                  <c:v>2023/24</c:v>
                </c:pt>
                <c:pt idx="2">
                  <c:v>2024/25</c:v>
                </c:pt>
              </c:strCache>
            </c:strRef>
          </c:cat>
          <c:val>
            <c:numRef>
              <c:f>'Individuals in Correctional Fac'!$B$3:$D$3</c:f>
              <c:numCache>
                <c:formatCode>General</c:formatCode>
                <c:ptCount val="3"/>
                <c:pt idx="0">
                  <c:v>136</c:v>
                </c:pt>
                <c:pt idx="1">
                  <c:v>252</c:v>
                </c:pt>
                <c:pt idx="2">
                  <c:v>169</c:v>
                </c:pt>
              </c:numCache>
            </c:numRef>
          </c:val>
          <c:extLst>
            <c:ext xmlns:c16="http://schemas.microsoft.com/office/drawing/2014/chart" uri="{C3380CC4-5D6E-409C-BE32-E72D297353CC}">
              <c16:uniqueId val="{00000001-3BD9-409C-90DE-5F04B0735E3E}"/>
            </c:ext>
          </c:extLst>
        </c:ser>
        <c:dLbls>
          <c:showLegendKey val="0"/>
          <c:showVal val="0"/>
          <c:showCatName val="0"/>
          <c:showSerName val="0"/>
          <c:showPercent val="0"/>
          <c:showBubbleSize val="0"/>
        </c:dLbls>
        <c:gapWidth val="219"/>
        <c:overlap val="-27"/>
        <c:axId val="810348072"/>
        <c:axId val="810345552"/>
      </c:barChart>
      <c:lineChart>
        <c:grouping val="standard"/>
        <c:varyColors val="0"/>
        <c:ser>
          <c:idx val="2"/>
          <c:order val="2"/>
          <c:tx>
            <c:strRef>
              <c:f>'Individuals in Correctional Fac'!$A$4</c:f>
              <c:strCache>
                <c:ptCount val="1"/>
                <c:pt idx="0">
                  <c:v>Percent Accepted</c:v>
                </c:pt>
              </c:strCache>
            </c:strRef>
          </c:tx>
          <c:spPr>
            <a:ln w="28575" cap="rnd">
              <a:solidFill>
                <a:srgbClr val="F2C777"/>
              </a:solidFill>
              <a:round/>
            </a:ln>
            <a:effectLst/>
          </c:spPr>
          <c:marker>
            <c:symbol val="circle"/>
            <c:size val="5"/>
            <c:spPr>
              <a:solidFill>
                <a:srgbClr val="F2C777"/>
              </a:solidFill>
              <a:ln w="9525">
                <a:noFill/>
              </a:ln>
              <a:effectLst/>
            </c:spPr>
          </c:marker>
          <c:cat>
            <c:strRef>
              <c:f>'Individuals in Correctional Fac'!$B$1:$D$1</c:f>
              <c:strCache>
                <c:ptCount val="3"/>
                <c:pt idx="0">
                  <c:v>2022/23</c:v>
                </c:pt>
                <c:pt idx="1">
                  <c:v>2023/24</c:v>
                </c:pt>
                <c:pt idx="2">
                  <c:v>2024/25</c:v>
                </c:pt>
              </c:strCache>
            </c:strRef>
          </c:cat>
          <c:val>
            <c:numRef>
              <c:f>'Individuals in Correctional Fac'!$B$4:$D$4</c:f>
              <c:numCache>
                <c:formatCode>0%</c:formatCode>
                <c:ptCount val="3"/>
                <c:pt idx="0">
                  <c:v>0.78</c:v>
                </c:pt>
                <c:pt idx="1">
                  <c:v>0.85</c:v>
                </c:pt>
                <c:pt idx="2">
                  <c:v>0.84</c:v>
                </c:pt>
              </c:numCache>
            </c:numRef>
          </c:val>
          <c:smooth val="0"/>
          <c:extLst>
            <c:ext xmlns:c16="http://schemas.microsoft.com/office/drawing/2014/chart" uri="{C3380CC4-5D6E-409C-BE32-E72D297353CC}">
              <c16:uniqueId val="{00000002-3BD9-409C-90DE-5F04B0735E3E}"/>
            </c:ext>
          </c:extLst>
        </c:ser>
        <c:dLbls>
          <c:showLegendKey val="0"/>
          <c:showVal val="0"/>
          <c:showCatName val="0"/>
          <c:showSerName val="0"/>
          <c:showPercent val="0"/>
          <c:showBubbleSize val="0"/>
        </c:dLbls>
        <c:marker val="1"/>
        <c:smooth val="0"/>
        <c:axId val="810350952"/>
        <c:axId val="810347712"/>
      </c:lineChart>
      <c:catAx>
        <c:axId val="810348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345552"/>
        <c:crosses val="autoZero"/>
        <c:auto val="1"/>
        <c:lblAlgn val="ctr"/>
        <c:lblOffset val="100"/>
        <c:noMultiLvlLbl val="0"/>
      </c:catAx>
      <c:valAx>
        <c:axId val="810345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Calls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348072"/>
        <c:crosses val="autoZero"/>
        <c:crossBetween val="between"/>
      </c:valAx>
      <c:valAx>
        <c:axId val="81034771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r>
                  <a:rPr lang="en-US" baseline="0"/>
                  <a:t> of Calls Accepted</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350952"/>
        <c:crosses val="max"/>
        <c:crossBetween val="between"/>
      </c:valAx>
      <c:catAx>
        <c:axId val="810350952"/>
        <c:scaling>
          <c:orientation val="minMax"/>
        </c:scaling>
        <c:delete val="1"/>
        <c:axPos val="b"/>
        <c:numFmt formatCode="General" sourceLinked="1"/>
        <c:majorTickMark val="none"/>
        <c:minorTickMark val="none"/>
        <c:tickLblPos val="nextTo"/>
        <c:crossAx val="8103477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0.47067</cdr:x>
      <cdr:y>0.20841</cdr:y>
    </cdr:from>
    <cdr:to>
      <cdr:x>1</cdr:x>
      <cdr:y>0.71084</cdr:y>
    </cdr:to>
    <cdr:grpSp>
      <cdr:nvGrpSpPr>
        <cdr:cNvPr id="28" name="Group 27"/>
        <cdr:cNvGrpSpPr/>
      </cdr:nvGrpSpPr>
      <cdr:grpSpPr>
        <a:xfrm xmlns:a="http://schemas.openxmlformats.org/drawingml/2006/main">
          <a:off x="1829954" y="660309"/>
          <a:ext cx="2058046" cy="1591825"/>
          <a:chOff x="1829954" y="660309"/>
          <a:chExt cx="2058046" cy="1591825"/>
        </a:xfrm>
      </cdr:grpSpPr>
      <cdr:sp macro="" textlink="">
        <cdr:nvSpPr>
          <cdr:cNvPr id="3" name="Oval 2">
            <a:extLst xmlns:a="http://schemas.openxmlformats.org/drawingml/2006/main">
              <a:ext uri="{FF2B5EF4-FFF2-40B4-BE49-F238E27FC236}">
                <a16:creationId xmlns:a16="http://schemas.microsoft.com/office/drawing/2014/main" id="{A6B25A45-C808-F264-4680-43F7434925F2}"/>
              </a:ext>
            </a:extLst>
          </cdr:cNvPr>
          <cdr:cNvSpPr/>
        </cdr:nvSpPr>
        <cdr:spPr>
          <a:xfrm xmlns:a="http://schemas.openxmlformats.org/drawingml/2006/main">
            <a:off x="1998350" y="660309"/>
            <a:ext cx="749952" cy="422307"/>
          </a:xfrm>
          <a:prstGeom xmlns:a="http://schemas.openxmlformats.org/drawingml/2006/main" prst="ellipse">
            <a:avLst/>
          </a:prstGeom>
          <a:solidFill xmlns:a="http://schemas.openxmlformats.org/drawingml/2006/main">
            <a:srgbClr val="C5583A"/>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b="1" kern="1200">
                <a:solidFill>
                  <a:schemeClr val="bg1"/>
                </a:solidFill>
              </a:rPr>
              <a:t>34% </a:t>
            </a:r>
            <a:r>
              <a:rPr lang="en-US" sz="1000" b="1" kern="1200">
                <a:solidFill>
                  <a:schemeClr val="bg1"/>
                </a:solidFill>
                <a:sym typeface="Symbol" panose="05050102010706020507" pitchFamily="18" charset="2"/>
              </a:rPr>
              <a:t></a:t>
            </a:r>
            <a:r>
              <a:rPr lang="en-US" sz="1000" b="1" kern="1200">
                <a:solidFill>
                  <a:schemeClr val="bg1"/>
                </a:solidFill>
              </a:rPr>
              <a:t> </a:t>
            </a:r>
          </a:p>
        </cdr:txBody>
      </cdr:sp>
      <cdr:sp macro="" textlink="">
        <cdr:nvSpPr>
          <cdr:cNvPr id="4" name="Oval 3">
            <a:extLst xmlns:a="http://schemas.openxmlformats.org/drawingml/2006/main">
              <a:ext uri="{FF2B5EF4-FFF2-40B4-BE49-F238E27FC236}">
                <a16:creationId xmlns:a16="http://schemas.microsoft.com/office/drawing/2014/main" id="{D5C855D8-47C3-6D77-674E-43C0578E4ECC}"/>
              </a:ext>
            </a:extLst>
          </cdr:cNvPr>
          <cdr:cNvSpPr/>
        </cdr:nvSpPr>
        <cdr:spPr>
          <a:xfrm xmlns:a="http://schemas.openxmlformats.org/drawingml/2006/main">
            <a:off x="3144955" y="1585891"/>
            <a:ext cx="743045" cy="422307"/>
          </a:xfrm>
          <a:prstGeom xmlns:a="http://schemas.openxmlformats.org/drawingml/2006/main" prst="ellipse">
            <a:avLst/>
          </a:prstGeom>
          <a:solidFill xmlns:a="http://schemas.openxmlformats.org/drawingml/2006/main">
            <a:srgbClr val="C5583A"/>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b="1" kern="1200">
                <a:solidFill>
                  <a:schemeClr val="bg1"/>
                </a:solidFill>
              </a:rPr>
              <a:t>22%</a:t>
            </a:r>
            <a:r>
              <a:rPr lang="en-US" sz="1000" b="1" kern="1200">
                <a:solidFill>
                  <a:schemeClr val="bg1"/>
                </a:solidFill>
                <a:sym typeface="Symbol" panose="05050102010706020507" pitchFamily="18" charset="2"/>
              </a:rPr>
              <a:t></a:t>
            </a:r>
            <a:endParaRPr lang="en-US" sz="1000" b="1" kern="1200">
              <a:solidFill>
                <a:schemeClr val="bg1"/>
              </a:solidFill>
            </a:endParaRPr>
          </a:p>
        </cdr:txBody>
      </cdr:sp>
      <cdr:cxnSp macro="">
        <cdr:nvCxnSpPr>
          <cdr:cNvPr id="5" name="Connector: Elbow 4"/>
          <cdr:cNvCxnSpPr/>
        </cdr:nvCxnSpPr>
        <cdr:spPr>
          <a:xfrm xmlns:a="http://schemas.openxmlformats.org/drawingml/2006/main" rot="5400000" flipH="1" flipV="1">
            <a:off x="3283798" y="2035297"/>
            <a:ext cx="262467" cy="171208"/>
          </a:xfrm>
          <a:prstGeom xmlns:a="http://schemas.openxmlformats.org/drawingml/2006/main" prst="bentConnector3">
            <a:avLst>
              <a:gd name="adj1" fmla="val -1613"/>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16" name="Connector: Elbow 15"/>
          <cdr:cNvCxnSpPr/>
        </cdr:nvCxnSpPr>
        <cdr:spPr>
          <a:xfrm xmlns:a="http://schemas.openxmlformats.org/drawingml/2006/main" flipV="1">
            <a:off x="1829954" y="1066801"/>
            <a:ext cx="436583" cy="211666"/>
          </a:xfrm>
          <a:prstGeom xmlns:a="http://schemas.openxmlformats.org/drawingml/2006/main" prst="bentConnector3">
            <a:avLst>
              <a:gd name="adj1" fmla="val 99019"/>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relSizeAnchor>
</c:userShapes>
</file>

<file path=word/drawings/drawing2.xml><?xml version="1.0" encoding="utf-8"?>
<c:userShapes xmlns:c="http://schemas.openxmlformats.org/drawingml/2006/chart">
  <cdr:relSizeAnchor xmlns:cdr="http://schemas.openxmlformats.org/drawingml/2006/chartDrawing">
    <cdr:from>
      <cdr:x>0.1746</cdr:x>
      <cdr:y>0.25535</cdr:y>
    </cdr:from>
    <cdr:to>
      <cdr:x>0.63339</cdr:x>
      <cdr:y>0.40331</cdr:y>
    </cdr:to>
    <cdr:sp macro="" textlink="">
      <cdr:nvSpPr>
        <cdr:cNvPr id="5" name="Arrow: Up 4">
          <a:extLst xmlns:a="http://schemas.openxmlformats.org/drawingml/2006/main">
            <a:ext uri="{FF2B5EF4-FFF2-40B4-BE49-F238E27FC236}">
              <a16:creationId xmlns:a16="http://schemas.microsoft.com/office/drawing/2014/main" id="{BABAB6FD-E9A7-5AFF-0365-EE4D951F4F47}"/>
            </a:ext>
          </a:extLst>
        </cdr:cNvPr>
        <cdr:cNvSpPr/>
      </cdr:nvSpPr>
      <cdr:spPr>
        <a:xfrm xmlns:a="http://schemas.openxmlformats.org/drawingml/2006/main" rot="3828356">
          <a:off x="1644125" y="-145382"/>
          <a:ext cx="405878" cy="2097586"/>
        </a:xfrm>
        <a:prstGeom xmlns:a="http://schemas.openxmlformats.org/drawingml/2006/main" prst="upArrow">
          <a:avLst/>
        </a:prstGeom>
        <a:solidFill xmlns:a="http://schemas.openxmlformats.org/drawingml/2006/main">
          <a:schemeClr val="accent6"/>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CA" kern="1200"/>
        </a:p>
      </cdr:txBody>
    </cdr:sp>
  </cdr:relSizeAnchor>
  <cdr:relSizeAnchor xmlns:cdr="http://schemas.openxmlformats.org/drawingml/2006/chartDrawing">
    <cdr:from>
      <cdr:x>0.19372</cdr:x>
      <cdr:y>0.21085</cdr:y>
    </cdr:from>
    <cdr:to>
      <cdr:x>0.56536</cdr:x>
      <cdr:y>0.28802</cdr:y>
    </cdr:to>
    <cdr:sp macro="" textlink="">
      <cdr:nvSpPr>
        <cdr:cNvPr id="6" name="TextBox 1">
          <a:extLst xmlns:a="http://schemas.openxmlformats.org/drawingml/2006/main">
            <a:ext uri="{FF2B5EF4-FFF2-40B4-BE49-F238E27FC236}">
              <a16:creationId xmlns:a16="http://schemas.microsoft.com/office/drawing/2014/main" id="{E122491D-34A9-9B23-89A3-00DF1ADE5C43}"/>
            </a:ext>
          </a:extLst>
        </cdr:cNvPr>
        <cdr:cNvSpPr txBox="1"/>
      </cdr:nvSpPr>
      <cdr:spPr>
        <a:xfrm xmlns:a="http://schemas.openxmlformats.org/drawingml/2006/main" rot="20019680">
          <a:off x="684933" y="578411"/>
          <a:ext cx="1313991" cy="2116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CA" sz="1100" b="1" kern="1200">
              <a:latin typeface="Tahoma" panose="020B0604030504040204" pitchFamily="34" charset="0"/>
              <a:ea typeface="Tahoma" panose="020B0604030504040204" pitchFamily="34" charset="0"/>
              <a:cs typeface="Tahoma" panose="020B0604030504040204" pitchFamily="34" charset="0"/>
            </a:rPr>
            <a:t>143% increase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463263f-a690-489e-af0e-b852c077d79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37F989F1C755142A0702EF6BABE04AA" ma:contentTypeVersion="10" ma:contentTypeDescription="Create a new document." ma:contentTypeScope="" ma:versionID="5378fa7496661bc0a782e3a87b1efb70">
  <xsd:schema xmlns:xsd="http://www.w3.org/2001/XMLSchema" xmlns:xs="http://www.w3.org/2001/XMLSchema" xmlns:p="http://schemas.microsoft.com/office/2006/metadata/properties" xmlns:ns3="4463263f-a690-489e-af0e-b852c077d79d" targetNamespace="http://schemas.microsoft.com/office/2006/metadata/properties" ma:root="true" ma:fieldsID="d6b44e54a088a15094d7c56f662c5d06" ns3:_="">
    <xsd:import namespace="4463263f-a690-489e-af0e-b852c077d79d"/>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63263f-a690-489e-af0e-b852c077d79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E80E6A-8F75-4A21-9E48-1E8899EDE64A}">
  <ds:schemaRefs>
    <ds:schemaRef ds:uri="http://schemas.microsoft.com/sharepoint/v3/contenttype/forms"/>
  </ds:schemaRefs>
</ds:datastoreItem>
</file>

<file path=customXml/itemProps2.xml><?xml version="1.0" encoding="utf-8"?>
<ds:datastoreItem xmlns:ds="http://schemas.openxmlformats.org/officeDocument/2006/customXml" ds:itemID="{7BE32E6E-7B72-4752-B6AF-918D48F17535}">
  <ds:schemaRefs>
    <ds:schemaRef ds:uri="http://schemas.microsoft.com/office/2006/metadata/properties"/>
    <ds:schemaRef ds:uri="http://schemas.microsoft.com/office/infopath/2007/PartnerControls"/>
    <ds:schemaRef ds:uri="4463263f-a690-489e-af0e-b852c077d79d"/>
  </ds:schemaRefs>
</ds:datastoreItem>
</file>

<file path=customXml/itemProps3.xml><?xml version="1.0" encoding="utf-8"?>
<ds:datastoreItem xmlns:ds="http://schemas.openxmlformats.org/officeDocument/2006/customXml" ds:itemID="{90A03361-A5B5-427D-AEEE-AC906EB03B4C}">
  <ds:schemaRefs>
    <ds:schemaRef ds:uri="http://schemas.openxmlformats.org/officeDocument/2006/bibliography"/>
  </ds:schemaRefs>
</ds:datastoreItem>
</file>

<file path=customXml/itemProps4.xml><?xml version="1.0" encoding="utf-8"?>
<ds:datastoreItem xmlns:ds="http://schemas.openxmlformats.org/officeDocument/2006/customXml" ds:itemID="{FC2EE912-551F-448E-A3B6-C205E80CBD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63263f-a690-489e-af0e-b852c077d7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34a106e-6316-442c-ad35-738afd673d2b}" enabled="1" method="Standard" siteId="{cddc1229-ac2a-4b97-b78a-0e5cacb5865c}" contentBits="0" removed="0"/>
</clbl:labelList>
</file>

<file path=docProps/app.xml><?xml version="1.0" encoding="utf-8"?>
<Properties xmlns="http://schemas.openxmlformats.org/officeDocument/2006/extended-properties" xmlns:vt="http://schemas.openxmlformats.org/officeDocument/2006/docPropsVTypes">
  <Template>Normal</Template>
  <TotalTime>6</TotalTime>
  <Pages>69</Pages>
  <Words>16704</Words>
  <Characters>95213</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HUMAN         RIGHTS          LEGAL       SUPPORT     CENTRE</vt:lpstr>
    </vt:vector>
  </TitlesOfParts>
  <Company/>
  <LinksUpToDate>false</LinksUpToDate>
  <CharactersWithSpaces>111694</CharactersWithSpaces>
  <SharedDoc>false</SharedDoc>
  <HLinks>
    <vt:vector size="786" baseType="variant">
      <vt:variant>
        <vt:i4>4390928</vt:i4>
      </vt:variant>
      <vt:variant>
        <vt:i4>591</vt:i4>
      </vt:variant>
      <vt:variant>
        <vt:i4>0</vt:i4>
      </vt:variant>
      <vt:variant>
        <vt:i4>5</vt:i4>
      </vt:variant>
      <vt:variant>
        <vt:lpwstr>https://www.the519.org/programs/legal-clinic/</vt:lpwstr>
      </vt:variant>
      <vt:variant>
        <vt:lpwstr/>
      </vt:variant>
      <vt:variant>
        <vt:i4>2752615</vt:i4>
      </vt:variant>
      <vt:variant>
        <vt:i4>588</vt:i4>
      </vt:variant>
      <vt:variant>
        <vt:i4>0</vt:i4>
      </vt:variant>
      <vt:variant>
        <vt:i4>5</vt:i4>
      </vt:variant>
      <vt:variant>
        <vt:lpwstr>https://hrlsc.on.ca/strategic-plan/</vt:lpwstr>
      </vt:variant>
      <vt:variant>
        <vt:lpwstr/>
      </vt:variant>
      <vt:variant>
        <vt:i4>4325387</vt:i4>
      </vt:variant>
      <vt:variant>
        <vt:i4>585</vt:i4>
      </vt:variant>
      <vt:variant>
        <vt:i4>0</vt:i4>
      </vt:variant>
      <vt:variant>
        <vt:i4>5</vt:i4>
      </vt:variant>
      <vt:variant>
        <vt:lpwstr>https://www.canlii.org/en/on/onhrt/doc/2024/2024hrto721/2024hrto721.html</vt:lpwstr>
      </vt:variant>
      <vt:variant>
        <vt:lpwstr/>
      </vt:variant>
      <vt:variant>
        <vt:i4>6946851</vt:i4>
      </vt:variant>
      <vt:variant>
        <vt:i4>582</vt:i4>
      </vt:variant>
      <vt:variant>
        <vt:i4>0</vt:i4>
      </vt:variant>
      <vt:variant>
        <vt:i4>5</vt:i4>
      </vt:variant>
      <vt:variant>
        <vt:lpwstr>https://www.canlii.org/en/on/onhrt/doc/2024/2024hrto1838/2024hrto1838.html</vt:lpwstr>
      </vt:variant>
      <vt:variant>
        <vt:lpwstr/>
      </vt:variant>
      <vt:variant>
        <vt:i4>1900618</vt:i4>
      </vt:variant>
      <vt:variant>
        <vt:i4>579</vt:i4>
      </vt:variant>
      <vt:variant>
        <vt:i4>0</vt:i4>
      </vt:variant>
      <vt:variant>
        <vt:i4>5</vt:i4>
      </vt:variant>
      <vt:variant>
        <vt:lpwstr>https://tribunalsontario.ca/documents/TO/Tribunals_Ontario_2023-2024_Annual_Report.html</vt:lpwstr>
      </vt:variant>
      <vt:variant>
        <vt:lpwstr/>
      </vt:variant>
      <vt:variant>
        <vt:i4>90</vt:i4>
      </vt:variant>
      <vt:variant>
        <vt:i4>576</vt:i4>
      </vt:variant>
      <vt:variant>
        <vt:i4>0</vt:i4>
      </vt:variant>
      <vt:variant>
        <vt:i4>5</vt:i4>
      </vt:variant>
      <vt:variant>
        <vt:lpwstr>https://hrlsc.on.ca/wp-content/uploads/2024/12/2023-2024-HRLSC-Annual-Report-English.pdf</vt:lpwstr>
      </vt:variant>
      <vt:variant>
        <vt:lpwstr/>
      </vt:variant>
      <vt:variant>
        <vt:i4>1900618</vt:i4>
      </vt:variant>
      <vt:variant>
        <vt:i4>573</vt:i4>
      </vt:variant>
      <vt:variant>
        <vt:i4>0</vt:i4>
      </vt:variant>
      <vt:variant>
        <vt:i4>5</vt:i4>
      </vt:variant>
      <vt:variant>
        <vt:lpwstr>https://tribunalsontario.ca/documents/TO/Tribunals_Ontario_2023-2024_Annual_Report.html</vt:lpwstr>
      </vt:variant>
      <vt:variant>
        <vt:lpwstr/>
      </vt:variant>
      <vt:variant>
        <vt:i4>4718621</vt:i4>
      </vt:variant>
      <vt:variant>
        <vt:i4>570</vt:i4>
      </vt:variant>
      <vt:variant>
        <vt:i4>0</vt:i4>
      </vt:variant>
      <vt:variant>
        <vt:i4>5</vt:i4>
      </vt:variant>
      <vt:variant>
        <vt:lpwstr>https://tribunalsontario.ca/en/about/open-data/</vt:lpwstr>
      </vt:variant>
      <vt:variant>
        <vt:lpwstr>panel6</vt:lpwstr>
      </vt:variant>
      <vt:variant>
        <vt:i4>4718598</vt:i4>
      </vt:variant>
      <vt:variant>
        <vt:i4>567</vt:i4>
      </vt:variant>
      <vt:variant>
        <vt:i4>0</vt:i4>
      </vt:variant>
      <vt:variant>
        <vt:i4>5</vt:i4>
      </vt:variant>
      <vt:variant>
        <vt:lpwstr>https://www.canadapost-postescanada.ca/cpc/en/support/articles/addressing-guidelines/postal-codes.page</vt:lpwstr>
      </vt:variant>
      <vt:variant>
        <vt:lpwstr>fsa</vt:lpwstr>
      </vt:variant>
      <vt:variant>
        <vt:i4>3866720</vt:i4>
      </vt:variant>
      <vt:variant>
        <vt:i4>564</vt:i4>
      </vt:variant>
      <vt:variant>
        <vt:i4>0</vt:i4>
      </vt:variant>
      <vt:variant>
        <vt:i4>5</vt:i4>
      </vt:variant>
      <vt:variant>
        <vt:lpwstr>https://www.canadapost-postescanada.ca/cpc/en/support/articles/addressing-guidelines/postal-codes.page</vt:lpwstr>
      </vt:variant>
      <vt:variant>
        <vt:lpwstr/>
      </vt:variant>
      <vt:variant>
        <vt:i4>458821</vt:i4>
      </vt:variant>
      <vt:variant>
        <vt:i4>561</vt:i4>
      </vt:variant>
      <vt:variant>
        <vt:i4>0</vt:i4>
      </vt:variant>
      <vt:variant>
        <vt:i4>5</vt:i4>
      </vt:variant>
      <vt:variant>
        <vt:lpwstr>https://www.buzzsprout.com/1500706/episodes/16869995</vt:lpwstr>
      </vt:variant>
      <vt:variant>
        <vt:lpwstr/>
      </vt:variant>
      <vt:variant>
        <vt:i4>7209071</vt:i4>
      </vt:variant>
      <vt:variant>
        <vt:i4>558</vt:i4>
      </vt:variant>
      <vt:variant>
        <vt:i4>0</vt:i4>
      </vt:variant>
      <vt:variant>
        <vt:i4>5</vt:i4>
      </vt:variant>
      <vt:variant>
        <vt:lpwstr>https://www.cbc.ca/listen/live-radio/1-41-morning-north/clip/16121428-city-north-bay-ordered-pay-indigenous-family-45-thousand</vt:lpwstr>
      </vt:variant>
      <vt:variant>
        <vt:lpwstr/>
      </vt:variant>
      <vt:variant>
        <vt:i4>3997754</vt:i4>
      </vt:variant>
      <vt:variant>
        <vt:i4>555</vt:i4>
      </vt:variant>
      <vt:variant>
        <vt:i4>0</vt:i4>
      </vt:variant>
      <vt:variant>
        <vt:i4>5</vt:i4>
      </vt:variant>
      <vt:variant>
        <vt:lpwstr>https://montreal.ctvnews.ca/northern-ontario/article/victim-of-discrimination-on-north-bay-ont-transit-bus-speaks-out/</vt:lpwstr>
      </vt:variant>
      <vt:variant>
        <vt:lpwstr/>
      </vt:variant>
      <vt:variant>
        <vt:i4>3801143</vt:i4>
      </vt:variant>
      <vt:variant>
        <vt:i4>552</vt:i4>
      </vt:variant>
      <vt:variant>
        <vt:i4>0</vt:i4>
      </vt:variant>
      <vt:variant>
        <vt:i4>5</vt:i4>
      </vt:variant>
      <vt:variant>
        <vt:lpwstr>https://theconversation.com/frank-stronach-allegations-highlight-harassment-in-the-workplace-234133</vt:lpwstr>
      </vt:variant>
      <vt:variant>
        <vt:lpwstr/>
      </vt:variant>
      <vt:variant>
        <vt:i4>4587526</vt:i4>
      </vt:variant>
      <vt:variant>
        <vt:i4>549</vt:i4>
      </vt:variant>
      <vt:variant>
        <vt:i4>0</vt:i4>
      </vt:variant>
      <vt:variant>
        <vt:i4>5</vt:i4>
      </vt:variant>
      <vt:variant>
        <vt:lpwstr>https://www.them.us/story/canada-waxing-salon-indigenous-trans-woman-lawsuit</vt:lpwstr>
      </vt:variant>
      <vt:variant>
        <vt:lpwstr/>
      </vt:variant>
      <vt:variant>
        <vt:i4>1769554</vt:i4>
      </vt:variant>
      <vt:variant>
        <vt:i4>546</vt:i4>
      </vt:variant>
      <vt:variant>
        <vt:i4>0</vt:i4>
      </vt:variant>
      <vt:variant>
        <vt:i4>5</vt:i4>
      </vt:variant>
      <vt:variant>
        <vt:lpwstr>https://www.ctvnews.ca/windsor/article/windsor-business-fined-35000-for-discrimination-and-reprisal-of-indigenous-transgender-woman/</vt:lpwstr>
      </vt:variant>
      <vt:variant>
        <vt:lpwstr/>
      </vt:variant>
      <vt:variant>
        <vt:i4>5505097</vt:i4>
      </vt:variant>
      <vt:variant>
        <vt:i4>543</vt:i4>
      </vt:variant>
      <vt:variant>
        <vt:i4>0</vt:i4>
      </vt:variant>
      <vt:variant>
        <vt:i4>5</vt:i4>
      </vt:variant>
      <vt:variant>
        <vt:lpwstr>https://ici.radio-canada.ca/nouvelle/2082366/salon-epilation-transgenre-carruthers-droits-personne-trans</vt:lpwstr>
      </vt:variant>
      <vt:variant>
        <vt:lpwstr/>
      </vt:variant>
      <vt:variant>
        <vt:i4>3211336</vt:i4>
      </vt:variant>
      <vt:variant>
        <vt:i4>540</vt:i4>
      </vt:variant>
      <vt:variant>
        <vt:i4>0</vt:i4>
      </vt:variant>
      <vt:variant>
        <vt:i4>5</vt:i4>
      </vt:variant>
      <vt:variant>
        <vt:lpwstr>https://www.northbaynipissing.com/news/i-am-proud-of-myself-for-never-giving-up-almaguin-employer-sexually-harassed-young-woman/article_80fce91f-e7dc-5a42-900f-758639cd8c80.html</vt:lpwstr>
      </vt:variant>
      <vt:variant>
        <vt:lpwstr/>
      </vt:variant>
      <vt:variant>
        <vt:i4>3735652</vt:i4>
      </vt:variant>
      <vt:variant>
        <vt:i4>537</vt:i4>
      </vt:variant>
      <vt:variant>
        <vt:i4>0</vt:i4>
      </vt:variant>
      <vt:variant>
        <vt:i4>5</vt:i4>
      </vt:variant>
      <vt:variant>
        <vt:lpwstr>https://www.nwac.ca/assets-documents/Magazine-ISSUE-25.pdf</vt:lpwstr>
      </vt:variant>
      <vt:variant>
        <vt:lpwstr/>
      </vt:variant>
      <vt:variant>
        <vt:i4>4456514</vt:i4>
      </vt:variant>
      <vt:variant>
        <vt:i4>534</vt:i4>
      </vt:variant>
      <vt:variant>
        <vt:i4>0</vt:i4>
      </vt:variant>
      <vt:variant>
        <vt:i4>5</vt:i4>
      </vt:variant>
      <vt:variant>
        <vt:lpwstr>https://canlii.ca/t/kb607</vt:lpwstr>
      </vt:variant>
      <vt:variant>
        <vt:lpwstr/>
      </vt:variant>
      <vt:variant>
        <vt:i4>4325387</vt:i4>
      </vt:variant>
      <vt:variant>
        <vt:i4>531</vt:i4>
      </vt:variant>
      <vt:variant>
        <vt:i4>0</vt:i4>
      </vt:variant>
      <vt:variant>
        <vt:i4>5</vt:i4>
      </vt:variant>
      <vt:variant>
        <vt:lpwstr>https://www.canlii.org/en/on/onhrt/doc/2024/2024hrto770/2024hrto770.html</vt:lpwstr>
      </vt:variant>
      <vt:variant>
        <vt:lpwstr/>
      </vt:variant>
      <vt:variant>
        <vt:i4>1769474</vt:i4>
      </vt:variant>
      <vt:variant>
        <vt:i4>528</vt:i4>
      </vt:variant>
      <vt:variant>
        <vt:i4>0</vt:i4>
      </vt:variant>
      <vt:variant>
        <vt:i4>5</vt:i4>
      </vt:variant>
      <vt:variant>
        <vt:lpwstr>https://canlii.ca/t/k4v9x</vt:lpwstr>
      </vt:variant>
      <vt:variant>
        <vt:lpwstr/>
      </vt:variant>
      <vt:variant>
        <vt:i4>6094867</vt:i4>
      </vt:variant>
      <vt:variant>
        <vt:i4>525</vt:i4>
      </vt:variant>
      <vt:variant>
        <vt:i4>0</vt:i4>
      </vt:variant>
      <vt:variant>
        <vt:i4>5</vt:i4>
      </vt:variant>
      <vt:variant>
        <vt:lpwstr>https://canlii.ca/t/k8gsq</vt:lpwstr>
      </vt:variant>
      <vt:variant>
        <vt:lpwstr/>
      </vt:variant>
      <vt:variant>
        <vt:i4>65549</vt:i4>
      </vt:variant>
      <vt:variant>
        <vt:i4>522</vt:i4>
      </vt:variant>
      <vt:variant>
        <vt:i4>0</vt:i4>
      </vt:variant>
      <vt:variant>
        <vt:i4>5</vt:i4>
      </vt:variant>
      <vt:variant>
        <vt:lpwstr>https://hrlsc.on.ca/opp-recommendations/</vt:lpwstr>
      </vt:variant>
      <vt:variant>
        <vt:lpwstr/>
      </vt:variant>
      <vt:variant>
        <vt:i4>1310725</vt:i4>
      </vt:variant>
      <vt:variant>
        <vt:i4>519</vt:i4>
      </vt:variant>
      <vt:variant>
        <vt:i4>0</vt:i4>
      </vt:variant>
      <vt:variant>
        <vt:i4>5</vt:i4>
      </vt:variant>
      <vt:variant>
        <vt:lpwstr>https://canlii.ca/t/k0q2z</vt:lpwstr>
      </vt:variant>
      <vt:variant>
        <vt:lpwstr/>
      </vt:variant>
      <vt:variant>
        <vt:i4>2293886</vt:i4>
      </vt:variant>
      <vt:variant>
        <vt:i4>516</vt:i4>
      </vt:variant>
      <vt:variant>
        <vt:i4>0</vt:i4>
      </vt:variant>
      <vt:variant>
        <vt:i4>5</vt:i4>
      </vt:variant>
      <vt:variant>
        <vt:lpwstr>https://hrlsc.on.ca/service-dog-certification/</vt:lpwstr>
      </vt:variant>
      <vt:variant>
        <vt:lpwstr/>
      </vt:variant>
      <vt:variant>
        <vt:i4>2293886</vt:i4>
      </vt:variant>
      <vt:variant>
        <vt:i4>513</vt:i4>
      </vt:variant>
      <vt:variant>
        <vt:i4>0</vt:i4>
      </vt:variant>
      <vt:variant>
        <vt:i4>5</vt:i4>
      </vt:variant>
      <vt:variant>
        <vt:lpwstr>https://hrlsc.on.ca/service-dog-certification/</vt:lpwstr>
      </vt:variant>
      <vt:variant>
        <vt:lpwstr/>
      </vt:variant>
      <vt:variant>
        <vt:i4>4784130</vt:i4>
      </vt:variant>
      <vt:variant>
        <vt:i4>510</vt:i4>
      </vt:variant>
      <vt:variant>
        <vt:i4>0</vt:i4>
      </vt:variant>
      <vt:variant>
        <vt:i4>5</vt:i4>
      </vt:variant>
      <vt:variant>
        <vt:lpwstr>https://canlii.ca/t/k5vj2</vt:lpwstr>
      </vt:variant>
      <vt:variant>
        <vt:lpwstr/>
      </vt:variant>
      <vt:variant>
        <vt:i4>6225923</vt:i4>
      </vt:variant>
      <vt:variant>
        <vt:i4>507</vt:i4>
      </vt:variant>
      <vt:variant>
        <vt:i4>0</vt:i4>
      </vt:variant>
      <vt:variant>
        <vt:i4>5</vt:i4>
      </vt:variant>
      <vt:variant>
        <vt:lpwstr>https://canlii.ca/t/k9wp9</vt:lpwstr>
      </vt:variant>
      <vt:variant>
        <vt:lpwstr/>
      </vt:variant>
      <vt:variant>
        <vt:i4>917578</vt:i4>
      </vt:variant>
      <vt:variant>
        <vt:i4>504</vt:i4>
      </vt:variant>
      <vt:variant>
        <vt:i4>0</vt:i4>
      </vt:variant>
      <vt:variant>
        <vt:i4>5</vt:i4>
      </vt:variant>
      <vt:variant>
        <vt:lpwstr>https://www.cleo.on.ca/en</vt:lpwstr>
      </vt:variant>
      <vt:variant>
        <vt:lpwstr/>
      </vt:variant>
      <vt:variant>
        <vt:i4>3407983</vt:i4>
      </vt:variant>
      <vt:variant>
        <vt:i4>501</vt:i4>
      </vt:variant>
      <vt:variant>
        <vt:i4>0</vt:i4>
      </vt:variant>
      <vt:variant>
        <vt:i4>5</vt:i4>
      </vt:variant>
      <vt:variant>
        <vt:lpwstr>https://hrlsc.on.ca/stakeholder-engagement/</vt:lpwstr>
      </vt:variant>
      <vt:variant>
        <vt:lpwstr/>
      </vt:variant>
      <vt:variant>
        <vt:i4>2752615</vt:i4>
      </vt:variant>
      <vt:variant>
        <vt:i4>498</vt:i4>
      </vt:variant>
      <vt:variant>
        <vt:i4>0</vt:i4>
      </vt:variant>
      <vt:variant>
        <vt:i4>5</vt:i4>
      </vt:variant>
      <vt:variant>
        <vt:lpwstr>https://hrlsc.on.ca/strategic-plan/</vt:lpwstr>
      </vt:variant>
      <vt:variant>
        <vt:lpwstr/>
      </vt:variant>
      <vt:variant>
        <vt:i4>3407983</vt:i4>
      </vt:variant>
      <vt:variant>
        <vt:i4>495</vt:i4>
      </vt:variant>
      <vt:variant>
        <vt:i4>0</vt:i4>
      </vt:variant>
      <vt:variant>
        <vt:i4>5</vt:i4>
      </vt:variant>
      <vt:variant>
        <vt:lpwstr>https://hrlsc.on.ca/stakeholder-engagement/</vt:lpwstr>
      </vt:variant>
      <vt:variant>
        <vt:lpwstr/>
      </vt:variant>
      <vt:variant>
        <vt:i4>2752615</vt:i4>
      </vt:variant>
      <vt:variant>
        <vt:i4>492</vt:i4>
      </vt:variant>
      <vt:variant>
        <vt:i4>0</vt:i4>
      </vt:variant>
      <vt:variant>
        <vt:i4>5</vt:i4>
      </vt:variant>
      <vt:variant>
        <vt:lpwstr>https://hrlsc.on.ca/strategic-plan/</vt:lpwstr>
      </vt:variant>
      <vt:variant>
        <vt:lpwstr/>
      </vt:variant>
      <vt:variant>
        <vt:i4>2752615</vt:i4>
      </vt:variant>
      <vt:variant>
        <vt:i4>489</vt:i4>
      </vt:variant>
      <vt:variant>
        <vt:i4>0</vt:i4>
      </vt:variant>
      <vt:variant>
        <vt:i4>5</vt:i4>
      </vt:variant>
      <vt:variant>
        <vt:lpwstr>https://hrlsc.on.ca/strategic-plan/</vt:lpwstr>
      </vt:variant>
      <vt:variant>
        <vt:lpwstr/>
      </vt:variant>
      <vt:variant>
        <vt:i4>1441843</vt:i4>
      </vt:variant>
      <vt:variant>
        <vt:i4>482</vt:i4>
      </vt:variant>
      <vt:variant>
        <vt:i4>0</vt:i4>
      </vt:variant>
      <vt:variant>
        <vt:i4>5</vt:i4>
      </vt:variant>
      <vt:variant>
        <vt:lpwstr/>
      </vt:variant>
      <vt:variant>
        <vt:lpwstr>_Toc202472476</vt:lpwstr>
      </vt:variant>
      <vt:variant>
        <vt:i4>1441843</vt:i4>
      </vt:variant>
      <vt:variant>
        <vt:i4>476</vt:i4>
      </vt:variant>
      <vt:variant>
        <vt:i4>0</vt:i4>
      </vt:variant>
      <vt:variant>
        <vt:i4>5</vt:i4>
      </vt:variant>
      <vt:variant>
        <vt:lpwstr/>
      </vt:variant>
      <vt:variant>
        <vt:lpwstr>_Toc202472475</vt:lpwstr>
      </vt:variant>
      <vt:variant>
        <vt:i4>1441843</vt:i4>
      </vt:variant>
      <vt:variant>
        <vt:i4>470</vt:i4>
      </vt:variant>
      <vt:variant>
        <vt:i4>0</vt:i4>
      </vt:variant>
      <vt:variant>
        <vt:i4>5</vt:i4>
      </vt:variant>
      <vt:variant>
        <vt:lpwstr/>
      </vt:variant>
      <vt:variant>
        <vt:lpwstr>_Toc202472474</vt:lpwstr>
      </vt:variant>
      <vt:variant>
        <vt:i4>1441843</vt:i4>
      </vt:variant>
      <vt:variant>
        <vt:i4>464</vt:i4>
      </vt:variant>
      <vt:variant>
        <vt:i4>0</vt:i4>
      </vt:variant>
      <vt:variant>
        <vt:i4>5</vt:i4>
      </vt:variant>
      <vt:variant>
        <vt:lpwstr/>
      </vt:variant>
      <vt:variant>
        <vt:lpwstr>_Toc202472473</vt:lpwstr>
      </vt:variant>
      <vt:variant>
        <vt:i4>1441843</vt:i4>
      </vt:variant>
      <vt:variant>
        <vt:i4>458</vt:i4>
      </vt:variant>
      <vt:variant>
        <vt:i4>0</vt:i4>
      </vt:variant>
      <vt:variant>
        <vt:i4>5</vt:i4>
      </vt:variant>
      <vt:variant>
        <vt:lpwstr/>
      </vt:variant>
      <vt:variant>
        <vt:lpwstr>_Toc202472472</vt:lpwstr>
      </vt:variant>
      <vt:variant>
        <vt:i4>1441843</vt:i4>
      </vt:variant>
      <vt:variant>
        <vt:i4>452</vt:i4>
      </vt:variant>
      <vt:variant>
        <vt:i4>0</vt:i4>
      </vt:variant>
      <vt:variant>
        <vt:i4>5</vt:i4>
      </vt:variant>
      <vt:variant>
        <vt:lpwstr/>
      </vt:variant>
      <vt:variant>
        <vt:lpwstr>_Toc202472471</vt:lpwstr>
      </vt:variant>
      <vt:variant>
        <vt:i4>1441843</vt:i4>
      </vt:variant>
      <vt:variant>
        <vt:i4>446</vt:i4>
      </vt:variant>
      <vt:variant>
        <vt:i4>0</vt:i4>
      </vt:variant>
      <vt:variant>
        <vt:i4>5</vt:i4>
      </vt:variant>
      <vt:variant>
        <vt:lpwstr/>
      </vt:variant>
      <vt:variant>
        <vt:lpwstr>_Toc202472470</vt:lpwstr>
      </vt:variant>
      <vt:variant>
        <vt:i4>1507379</vt:i4>
      </vt:variant>
      <vt:variant>
        <vt:i4>440</vt:i4>
      </vt:variant>
      <vt:variant>
        <vt:i4>0</vt:i4>
      </vt:variant>
      <vt:variant>
        <vt:i4>5</vt:i4>
      </vt:variant>
      <vt:variant>
        <vt:lpwstr/>
      </vt:variant>
      <vt:variant>
        <vt:lpwstr>_Toc202472469</vt:lpwstr>
      </vt:variant>
      <vt:variant>
        <vt:i4>1507379</vt:i4>
      </vt:variant>
      <vt:variant>
        <vt:i4>434</vt:i4>
      </vt:variant>
      <vt:variant>
        <vt:i4>0</vt:i4>
      </vt:variant>
      <vt:variant>
        <vt:i4>5</vt:i4>
      </vt:variant>
      <vt:variant>
        <vt:lpwstr/>
      </vt:variant>
      <vt:variant>
        <vt:lpwstr>_Toc202472468</vt:lpwstr>
      </vt:variant>
      <vt:variant>
        <vt:i4>1507379</vt:i4>
      </vt:variant>
      <vt:variant>
        <vt:i4>428</vt:i4>
      </vt:variant>
      <vt:variant>
        <vt:i4>0</vt:i4>
      </vt:variant>
      <vt:variant>
        <vt:i4>5</vt:i4>
      </vt:variant>
      <vt:variant>
        <vt:lpwstr/>
      </vt:variant>
      <vt:variant>
        <vt:lpwstr>_Toc202472467</vt:lpwstr>
      </vt:variant>
      <vt:variant>
        <vt:i4>1507379</vt:i4>
      </vt:variant>
      <vt:variant>
        <vt:i4>422</vt:i4>
      </vt:variant>
      <vt:variant>
        <vt:i4>0</vt:i4>
      </vt:variant>
      <vt:variant>
        <vt:i4>5</vt:i4>
      </vt:variant>
      <vt:variant>
        <vt:lpwstr/>
      </vt:variant>
      <vt:variant>
        <vt:lpwstr>_Toc202472466</vt:lpwstr>
      </vt:variant>
      <vt:variant>
        <vt:i4>1507379</vt:i4>
      </vt:variant>
      <vt:variant>
        <vt:i4>416</vt:i4>
      </vt:variant>
      <vt:variant>
        <vt:i4>0</vt:i4>
      </vt:variant>
      <vt:variant>
        <vt:i4>5</vt:i4>
      </vt:variant>
      <vt:variant>
        <vt:lpwstr/>
      </vt:variant>
      <vt:variant>
        <vt:lpwstr>_Toc202472465</vt:lpwstr>
      </vt:variant>
      <vt:variant>
        <vt:i4>1507379</vt:i4>
      </vt:variant>
      <vt:variant>
        <vt:i4>410</vt:i4>
      </vt:variant>
      <vt:variant>
        <vt:i4>0</vt:i4>
      </vt:variant>
      <vt:variant>
        <vt:i4>5</vt:i4>
      </vt:variant>
      <vt:variant>
        <vt:lpwstr/>
      </vt:variant>
      <vt:variant>
        <vt:lpwstr>_Toc202472464</vt:lpwstr>
      </vt:variant>
      <vt:variant>
        <vt:i4>1507379</vt:i4>
      </vt:variant>
      <vt:variant>
        <vt:i4>404</vt:i4>
      </vt:variant>
      <vt:variant>
        <vt:i4>0</vt:i4>
      </vt:variant>
      <vt:variant>
        <vt:i4>5</vt:i4>
      </vt:variant>
      <vt:variant>
        <vt:lpwstr/>
      </vt:variant>
      <vt:variant>
        <vt:lpwstr>_Toc202472463</vt:lpwstr>
      </vt:variant>
      <vt:variant>
        <vt:i4>1507379</vt:i4>
      </vt:variant>
      <vt:variant>
        <vt:i4>398</vt:i4>
      </vt:variant>
      <vt:variant>
        <vt:i4>0</vt:i4>
      </vt:variant>
      <vt:variant>
        <vt:i4>5</vt:i4>
      </vt:variant>
      <vt:variant>
        <vt:lpwstr/>
      </vt:variant>
      <vt:variant>
        <vt:lpwstr>_Toc202472462</vt:lpwstr>
      </vt:variant>
      <vt:variant>
        <vt:i4>1507379</vt:i4>
      </vt:variant>
      <vt:variant>
        <vt:i4>392</vt:i4>
      </vt:variant>
      <vt:variant>
        <vt:i4>0</vt:i4>
      </vt:variant>
      <vt:variant>
        <vt:i4>5</vt:i4>
      </vt:variant>
      <vt:variant>
        <vt:lpwstr/>
      </vt:variant>
      <vt:variant>
        <vt:lpwstr>_Toc202472461</vt:lpwstr>
      </vt:variant>
      <vt:variant>
        <vt:i4>1507379</vt:i4>
      </vt:variant>
      <vt:variant>
        <vt:i4>386</vt:i4>
      </vt:variant>
      <vt:variant>
        <vt:i4>0</vt:i4>
      </vt:variant>
      <vt:variant>
        <vt:i4>5</vt:i4>
      </vt:variant>
      <vt:variant>
        <vt:lpwstr/>
      </vt:variant>
      <vt:variant>
        <vt:lpwstr>_Toc202472460</vt:lpwstr>
      </vt:variant>
      <vt:variant>
        <vt:i4>1310771</vt:i4>
      </vt:variant>
      <vt:variant>
        <vt:i4>380</vt:i4>
      </vt:variant>
      <vt:variant>
        <vt:i4>0</vt:i4>
      </vt:variant>
      <vt:variant>
        <vt:i4>5</vt:i4>
      </vt:variant>
      <vt:variant>
        <vt:lpwstr/>
      </vt:variant>
      <vt:variant>
        <vt:lpwstr>_Toc202472459</vt:lpwstr>
      </vt:variant>
      <vt:variant>
        <vt:i4>1310771</vt:i4>
      </vt:variant>
      <vt:variant>
        <vt:i4>374</vt:i4>
      </vt:variant>
      <vt:variant>
        <vt:i4>0</vt:i4>
      </vt:variant>
      <vt:variant>
        <vt:i4>5</vt:i4>
      </vt:variant>
      <vt:variant>
        <vt:lpwstr/>
      </vt:variant>
      <vt:variant>
        <vt:lpwstr>_Toc202472458</vt:lpwstr>
      </vt:variant>
      <vt:variant>
        <vt:i4>1310771</vt:i4>
      </vt:variant>
      <vt:variant>
        <vt:i4>368</vt:i4>
      </vt:variant>
      <vt:variant>
        <vt:i4>0</vt:i4>
      </vt:variant>
      <vt:variant>
        <vt:i4>5</vt:i4>
      </vt:variant>
      <vt:variant>
        <vt:lpwstr/>
      </vt:variant>
      <vt:variant>
        <vt:lpwstr>_Toc202472457</vt:lpwstr>
      </vt:variant>
      <vt:variant>
        <vt:i4>1310771</vt:i4>
      </vt:variant>
      <vt:variant>
        <vt:i4>362</vt:i4>
      </vt:variant>
      <vt:variant>
        <vt:i4>0</vt:i4>
      </vt:variant>
      <vt:variant>
        <vt:i4>5</vt:i4>
      </vt:variant>
      <vt:variant>
        <vt:lpwstr/>
      </vt:variant>
      <vt:variant>
        <vt:lpwstr>_Toc202472456</vt:lpwstr>
      </vt:variant>
      <vt:variant>
        <vt:i4>1310771</vt:i4>
      </vt:variant>
      <vt:variant>
        <vt:i4>356</vt:i4>
      </vt:variant>
      <vt:variant>
        <vt:i4>0</vt:i4>
      </vt:variant>
      <vt:variant>
        <vt:i4>5</vt:i4>
      </vt:variant>
      <vt:variant>
        <vt:lpwstr/>
      </vt:variant>
      <vt:variant>
        <vt:lpwstr>_Toc202472455</vt:lpwstr>
      </vt:variant>
      <vt:variant>
        <vt:i4>1310771</vt:i4>
      </vt:variant>
      <vt:variant>
        <vt:i4>350</vt:i4>
      </vt:variant>
      <vt:variant>
        <vt:i4>0</vt:i4>
      </vt:variant>
      <vt:variant>
        <vt:i4>5</vt:i4>
      </vt:variant>
      <vt:variant>
        <vt:lpwstr/>
      </vt:variant>
      <vt:variant>
        <vt:lpwstr>_Toc202472454</vt:lpwstr>
      </vt:variant>
      <vt:variant>
        <vt:i4>1310771</vt:i4>
      </vt:variant>
      <vt:variant>
        <vt:i4>344</vt:i4>
      </vt:variant>
      <vt:variant>
        <vt:i4>0</vt:i4>
      </vt:variant>
      <vt:variant>
        <vt:i4>5</vt:i4>
      </vt:variant>
      <vt:variant>
        <vt:lpwstr/>
      </vt:variant>
      <vt:variant>
        <vt:lpwstr>_Toc202472453</vt:lpwstr>
      </vt:variant>
      <vt:variant>
        <vt:i4>1310771</vt:i4>
      </vt:variant>
      <vt:variant>
        <vt:i4>338</vt:i4>
      </vt:variant>
      <vt:variant>
        <vt:i4>0</vt:i4>
      </vt:variant>
      <vt:variant>
        <vt:i4>5</vt:i4>
      </vt:variant>
      <vt:variant>
        <vt:lpwstr/>
      </vt:variant>
      <vt:variant>
        <vt:lpwstr>_Toc202472452</vt:lpwstr>
      </vt:variant>
      <vt:variant>
        <vt:i4>1310771</vt:i4>
      </vt:variant>
      <vt:variant>
        <vt:i4>332</vt:i4>
      </vt:variant>
      <vt:variant>
        <vt:i4>0</vt:i4>
      </vt:variant>
      <vt:variant>
        <vt:i4>5</vt:i4>
      </vt:variant>
      <vt:variant>
        <vt:lpwstr/>
      </vt:variant>
      <vt:variant>
        <vt:lpwstr>_Toc202472451</vt:lpwstr>
      </vt:variant>
      <vt:variant>
        <vt:i4>1310771</vt:i4>
      </vt:variant>
      <vt:variant>
        <vt:i4>326</vt:i4>
      </vt:variant>
      <vt:variant>
        <vt:i4>0</vt:i4>
      </vt:variant>
      <vt:variant>
        <vt:i4>5</vt:i4>
      </vt:variant>
      <vt:variant>
        <vt:lpwstr/>
      </vt:variant>
      <vt:variant>
        <vt:lpwstr>_Toc202472450</vt:lpwstr>
      </vt:variant>
      <vt:variant>
        <vt:i4>1376307</vt:i4>
      </vt:variant>
      <vt:variant>
        <vt:i4>320</vt:i4>
      </vt:variant>
      <vt:variant>
        <vt:i4>0</vt:i4>
      </vt:variant>
      <vt:variant>
        <vt:i4>5</vt:i4>
      </vt:variant>
      <vt:variant>
        <vt:lpwstr/>
      </vt:variant>
      <vt:variant>
        <vt:lpwstr>_Toc202472449</vt:lpwstr>
      </vt:variant>
      <vt:variant>
        <vt:i4>1376307</vt:i4>
      </vt:variant>
      <vt:variant>
        <vt:i4>314</vt:i4>
      </vt:variant>
      <vt:variant>
        <vt:i4>0</vt:i4>
      </vt:variant>
      <vt:variant>
        <vt:i4>5</vt:i4>
      </vt:variant>
      <vt:variant>
        <vt:lpwstr/>
      </vt:variant>
      <vt:variant>
        <vt:lpwstr>_Toc202472448</vt:lpwstr>
      </vt:variant>
      <vt:variant>
        <vt:i4>1376307</vt:i4>
      </vt:variant>
      <vt:variant>
        <vt:i4>308</vt:i4>
      </vt:variant>
      <vt:variant>
        <vt:i4>0</vt:i4>
      </vt:variant>
      <vt:variant>
        <vt:i4>5</vt:i4>
      </vt:variant>
      <vt:variant>
        <vt:lpwstr/>
      </vt:variant>
      <vt:variant>
        <vt:lpwstr>_Toc202472447</vt:lpwstr>
      </vt:variant>
      <vt:variant>
        <vt:i4>1376307</vt:i4>
      </vt:variant>
      <vt:variant>
        <vt:i4>302</vt:i4>
      </vt:variant>
      <vt:variant>
        <vt:i4>0</vt:i4>
      </vt:variant>
      <vt:variant>
        <vt:i4>5</vt:i4>
      </vt:variant>
      <vt:variant>
        <vt:lpwstr/>
      </vt:variant>
      <vt:variant>
        <vt:lpwstr>_Toc202472446</vt:lpwstr>
      </vt:variant>
      <vt:variant>
        <vt:i4>1376307</vt:i4>
      </vt:variant>
      <vt:variant>
        <vt:i4>296</vt:i4>
      </vt:variant>
      <vt:variant>
        <vt:i4>0</vt:i4>
      </vt:variant>
      <vt:variant>
        <vt:i4>5</vt:i4>
      </vt:variant>
      <vt:variant>
        <vt:lpwstr/>
      </vt:variant>
      <vt:variant>
        <vt:lpwstr>_Toc202472445</vt:lpwstr>
      </vt:variant>
      <vt:variant>
        <vt:i4>1376307</vt:i4>
      </vt:variant>
      <vt:variant>
        <vt:i4>290</vt:i4>
      </vt:variant>
      <vt:variant>
        <vt:i4>0</vt:i4>
      </vt:variant>
      <vt:variant>
        <vt:i4>5</vt:i4>
      </vt:variant>
      <vt:variant>
        <vt:lpwstr/>
      </vt:variant>
      <vt:variant>
        <vt:lpwstr>_Toc202472444</vt:lpwstr>
      </vt:variant>
      <vt:variant>
        <vt:i4>1376307</vt:i4>
      </vt:variant>
      <vt:variant>
        <vt:i4>284</vt:i4>
      </vt:variant>
      <vt:variant>
        <vt:i4>0</vt:i4>
      </vt:variant>
      <vt:variant>
        <vt:i4>5</vt:i4>
      </vt:variant>
      <vt:variant>
        <vt:lpwstr/>
      </vt:variant>
      <vt:variant>
        <vt:lpwstr>_Toc202472443</vt:lpwstr>
      </vt:variant>
      <vt:variant>
        <vt:i4>1376307</vt:i4>
      </vt:variant>
      <vt:variant>
        <vt:i4>278</vt:i4>
      </vt:variant>
      <vt:variant>
        <vt:i4>0</vt:i4>
      </vt:variant>
      <vt:variant>
        <vt:i4>5</vt:i4>
      </vt:variant>
      <vt:variant>
        <vt:lpwstr/>
      </vt:variant>
      <vt:variant>
        <vt:lpwstr>_Toc202472442</vt:lpwstr>
      </vt:variant>
      <vt:variant>
        <vt:i4>1376307</vt:i4>
      </vt:variant>
      <vt:variant>
        <vt:i4>272</vt:i4>
      </vt:variant>
      <vt:variant>
        <vt:i4>0</vt:i4>
      </vt:variant>
      <vt:variant>
        <vt:i4>5</vt:i4>
      </vt:variant>
      <vt:variant>
        <vt:lpwstr/>
      </vt:variant>
      <vt:variant>
        <vt:lpwstr>_Toc202472441</vt:lpwstr>
      </vt:variant>
      <vt:variant>
        <vt:i4>1376307</vt:i4>
      </vt:variant>
      <vt:variant>
        <vt:i4>266</vt:i4>
      </vt:variant>
      <vt:variant>
        <vt:i4>0</vt:i4>
      </vt:variant>
      <vt:variant>
        <vt:i4>5</vt:i4>
      </vt:variant>
      <vt:variant>
        <vt:lpwstr/>
      </vt:variant>
      <vt:variant>
        <vt:lpwstr>_Toc202472440</vt:lpwstr>
      </vt:variant>
      <vt:variant>
        <vt:i4>1179699</vt:i4>
      </vt:variant>
      <vt:variant>
        <vt:i4>260</vt:i4>
      </vt:variant>
      <vt:variant>
        <vt:i4>0</vt:i4>
      </vt:variant>
      <vt:variant>
        <vt:i4>5</vt:i4>
      </vt:variant>
      <vt:variant>
        <vt:lpwstr/>
      </vt:variant>
      <vt:variant>
        <vt:lpwstr>_Toc202472439</vt:lpwstr>
      </vt:variant>
      <vt:variant>
        <vt:i4>1179699</vt:i4>
      </vt:variant>
      <vt:variant>
        <vt:i4>254</vt:i4>
      </vt:variant>
      <vt:variant>
        <vt:i4>0</vt:i4>
      </vt:variant>
      <vt:variant>
        <vt:i4>5</vt:i4>
      </vt:variant>
      <vt:variant>
        <vt:lpwstr/>
      </vt:variant>
      <vt:variant>
        <vt:lpwstr>_Toc202472438</vt:lpwstr>
      </vt:variant>
      <vt:variant>
        <vt:i4>1179699</vt:i4>
      </vt:variant>
      <vt:variant>
        <vt:i4>248</vt:i4>
      </vt:variant>
      <vt:variant>
        <vt:i4>0</vt:i4>
      </vt:variant>
      <vt:variant>
        <vt:i4>5</vt:i4>
      </vt:variant>
      <vt:variant>
        <vt:lpwstr/>
      </vt:variant>
      <vt:variant>
        <vt:lpwstr>_Toc202472437</vt:lpwstr>
      </vt:variant>
      <vt:variant>
        <vt:i4>1179699</vt:i4>
      </vt:variant>
      <vt:variant>
        <vt:i4>242</vt:i4>
      </vt:variant>
      <vt:variant>
        <vt:i4>0</vt:i4>
      </vt:variant>
      <vt:variant>
        <vt:i4>5</vt:i4>
      </vt:variant>
      <vt:variant>
        <vt:lpwstr/>
      </vt:variant>
      <vt:variant>
        <vt:lpwstr>_Toc202472436</vt:lpwstr>
      </vt:variant>
      <vt:variant>
        <vt:i4>1179699</vt:i4>
      </vt:variant>
      <vt:variant>
        <vt:i4>236</vt:i4>
      </vt:variant>
      <vt:variant>
        <vt:i4>0</vt:i4>
      </vt:variant>
      <vt:variant>
        <vt:i4>5</vt:i4>
      </vt:variant>
      <vt:variant>
        <vt:lpwstr/>
      </vt:variant>
      <vt:variant>
        <vt:lpwstr>_Toc202472435</vt:lpwstr>
      </vt:variant>
      <vt:variant>
        <vt:i4>1179699</vt:i4>
      </vt:variant>
      <vt:variant>
        <vt:i4>230</vt:i4>
      </vt:variant>
      <vt:variant>
        <vt:i4>0</vt:i4>
      </vt:variant>
      <vt:variant>
        <vt:i4>5</vt:i4>
      </vt:variant>
      <vt:variant>
        <vt:lpwstr/>
      </vt:variant>
      <vt:variant>
        <vt:lpwstr>_Toc202472434</vt:lpwstr>
      </vt:variant>
      <vt:variant>
        <vt:i4>1179699</vt:i4>
      </vt:variant>
      <vt:variant>
        <vt:i4>224</vt:i4>
      </vt:variant>
      <vt:variant>
        <vt:i4>0</vt:i4>
      </vt:variant>
      <vt:variant>
        <vt:i4>5</vt:i4>
      </vt:variant>
      <vt:variant>
        <vt:lpwstr/>
      </vt:variant>
      <vt:variant>
        <vt:lpwstr>_Toc202472433</vt:lpwstr>
      </vt:variant>
      <vt:variant>
        <vt:i4>1179699</vt:i4>
      </vt:variant>
      <vt:variant>
        <vt:i4>218</vt:i4>
      </vt:variant>
      <vt:variant>
        <vt:i4>0</vt:i4>
      </vt:variant>
      <vt:variant>
        <vt:i4>5</vt:i4>
      </vt:variant>
      <vt:variant>
        <vt:lpwstr/>
      </vt:variant>
      <vt:variant>
        <vt:lpwstr>_Toc202472432</vt:lpwstr>
      </vt:variant>
      <vt:variant>
        <vt:i4>1179699</vt:i4>
      </vt:variant>
      <vt:variant>
        <vt:i4>212</vt:i4>
      </vt:variant>
      <vt:variant>
        <vt:i4>0</vt:i4>
      </vt:variant>
      <vt:variant>
        <vt:i4>5</vt:i4>
      </vt:variant>
      <vt:variant>
        <vt:lpwstr/>
      </vt:variant>
      <vt:variant>
        <vt:lpwstr>_Toc202472431</vt:lpwstr>
      </vt:variant>
      <vt:variant>
        <vt:i4>1179699</vt:i4>
      </vt:variant>
      <vt:variant>
        <vt:i4>206</vt:i4>
      </vt:variant>
      <vt:variant>
        <vt:i4>0</vt:i4>
      </vt:variant>
      <vt:variant>
        <vt:i4>5</vt:i4>
      </vt:variant>
      <vt:variant>
        <vt:lpwstr/>
      </vt:variant>
      <vt:variant>
        <vt:lpwstr>_Toc202472430</vt:lpwstr>
      </vt:variant>
      <vt:variant>
        <vt:i4>1245235</vt:i4>
      </vt:variant>
      <vt:variant>
        <vt:i4>200</vt:i4>
      </vt:variant>
      <vt:variant>
        <vt:i4>0</vt:i4>
      </vt:variant>
      <vt:variant>
        <vt:i4>5</vt:i4>
      </vt:variant>
      <vt:variant>
        <vt:lpwstr/>
      </vt:variant>
      <vt:variant>
        <vt:lpwstr>_Toc202472429</vt:lpwstr>
      </vt:variant>
      <vt:variant>
        <vt:i4>1245235</vt:i4>
      </vt:variant>
      <vt:variant>
        <vt:i4>194</vt:i4>
      </vt:variant>
      <vt:variant>
        <vt:i4>0</vt:i4>
      </vt:variant>
      <vt:variant>
        <vt:i4>5</vt:i4>
      </vt:variant>
      <vt:variant>
        <vt:lpwstr/>
      </vt:variant>
      <vt:variant>
        <vt:lpwstr>_Toc202472428</vt:lpwstr>
      </vt:variant>
      <vt:variant>
        <vt:i4>1245235</vt:i4>
      </vt:variant>
      <vt:variant>
        <vt:i4>188</vt:i4>
      </vt:variant>
      <vt:variant>
        <vt:i4>0</vt:i4>
      </vt:variant>
      <vt:variant>
        <vt:i4>5</vt:i4>
      </vt:variant>
      <vt:variant>
        <vt:lpwstr/>
      </vt:variant>
      <vt:variant>
        <vt:lpwstr>_Toc202472427</vt:lpwstr>
      </vt:variant>
      <vt:variant>
        <vt:i4>1245235</vt:i4>
      </vt:variant>
      <vt:variant>
        <vt:i4>182</vt:i4>
      </vt:variant>
      <vt:variant>
        <vt:i4>0</vt:i4>
      </vt:variant>
      <vt:variant>
        <vt:i4>5</vt:i4>
      </vt:variant>
      <vt:variant>
        <vt:lpwstr/>
      </vt:variant>
      <vt:variant>
        <vt:lpwstr>_Toc202472426</vt:lpwstr>
      </vt:variant>
      <vt:variant>
        <vt:i4>1245235</vt:i4>
      </vt:variant>
      <vt:variant>
        <vt:i4>176</vt:i4>
      </vt:variant>
      <vt:variant>
        <vt:i4>0</vt:i4>
      </vt:variant>
      <vt:variant>
        <vt:i4>5</vt:i4>
      </vt:variant>
      <vt:variant>
        <vt:lpwstr/>
      </vt:variant>
      <vt:variant>
        <vt:lpwstr>_Toc202472425</vt:lpwstr>
      </vt:variant>
      <vt:variant>
        <vt:i4>1245235</vt:i4>
      </vt:variant>
      <vt:variant>
        <vt:i4>170</vt:i4>
      </vt:variant>
      <vt:variant>
        <vt:i4>0</vt:i4>
      </vt:variant>
      <vt:variant>
        <vt:i4>5</vt:i4>
      </vt:variant>
      <vt:variant>
        <vt:lpwstr/>
      </vt:variant>
      <vt:variant>
        <vt:lpwstr>_Toc202472424</vt:lpwstr>
      </vt:variant>
      <vt:variant>
        <vt:i4>1245235</vt:i4>
      </vt:variant>
      <vt:variant>
        <vt:i4>164</vt:i4>
      </vt:variant>
      <vt:variant>
        <vt:i4>0</vt:i4>
      </vt:variant>
      <vt:variant>
        <vt:i4>5</vt:i4>
      </vt:variant>
      <vt:variant>
        <vt:lpwstr/>
      </vt:variant>
      <vt:variant>
        <vt:lpwstr>_Toc202472423</vt:lpwstr>
      </vt:variant>
      <vt:variant>
        <vt:i4>1245235</vt:i4>
      </vt:variant>
      <vt:variant>
        <vt:i4>158</vt:i4>
      </vt:variant>
      <vt:variant>
        <vt:i4>0</vt:i4>
      </vt:variant>
      <vt:variant>
        <vt:i4>5</vt:i4>
      </vt:variant>
      <vt:variant>
        <vt:lpwstr/>
      </vt:variant>
      <vt:variant>
        <vt:lpwstr>_Toc202472422</vt:lpwstr>
      </vt:variant>
      <vt:variant>
        <vt:i4>1245235</vt:i4>
      </vt:variant>
      <vt:variant>
        <vt:i4>152</vt:i4>
      </vt:variant>
      <vt:variant>
        <vt:i4>0</vt:i4>
      </vt:variant>
      <vt:variant>
        <vt:i4>5</vt:i4>
      </vt:variant>
      <vt:variant>
        <vt:lpwstr/>
      </vt:variant>
      <vt:variant>
        <vt:lpwstr>_Toc202472421</vt:lpwstr>
      </vt:variant>
      <vt:variant>
        <vt:i4>1245235</vt:i4>
      </vt:variant>
      <vt:variant>
        <vt:i4>146</vt:i4>
      </vt:variant>
      <vt:variant>
        <vt:i4>0</vt:i4>
      </vt:variant>
      <vt:variant>
        <vt:i4>5</vt:i4>
      </vt:variant>
      <vt:variant>
        <vt:lpwstr/>
      </vt:variant>
      <vt:variant>
        <vt:lpwstr>_Toc202472420</vt:lpwstr>
      </vt:variant>
      <vt:variant>
        <vt:i4>1048627</vt:i4>
      </vt:variant>
      <vt:variant>
        <vt:i4>140</vt:i4>
      </vt:variant>
      <vt:variant>
        <vt:i4>0</vt:i4>
      </vt:variant>
      <vt:variant>
        <vt:i4>5</vt:i4>
      </vt:variant>
      <vt:variant>
        <vt:lpwstr/>
      </vt:variant>
      <vt:variant>
        <vt:lpwstr>_Toc202472419</vt:lpwstr>
      </vt:variant>
      <vt:variant>
        <vt:i4>1048627</vt:i4>
      </vt:variant>
      <vt:variant>
        <vt:i4>134</vt:i4>
      </vt:variant>
      <vt:variant>
        <vt:i4>0</vt:i4>
      </vt:variant>
      <vt:variant>
        <vt:i4>5</vt:i4>
      </vt:variant>
      <vt:variant>
        <vt:lpwstr/>
      </vt:variant>
      <vt:variant>
        <vt:lpwstr>_Toc202472418</vt:lpwstr>
      </vt:variant>
      <vt:variant>
        <vt:i4>1048627</vt:i4>
      </vt:variant>
      <vt:variant>
        <vt:i4>128</vt:i4>
      </vt:variant>
      <vt:variant>
        <vt:i4>0</vt:i4>
      </vt:variant>
      <vt:variant>
        <vt:i4>5</vt:i4>
      </vt:variant>
      <vt:variant>
        <vt:lpwstr/>
      </vt:variant>
      <vt:variant>
        <vt:lpwstr>_Toc202472417</vt:lpwstr>
      </vt:variant>
      <vt:variant>
        <vt:i4>1048627</vt:i4>
      </vt:variant>
      <vt:variant>
        <vt:i4>122</vt:i4>
      </vt:variant>
      <vt:variant>
        <vt:i4>0</vt:i4>
      </vt:variant>
      <vt:variant>
        <vt:i4>5</vt:i4>
      </vt:variant>
      <vt:variant>
        <vt:lpwstr/>
      </vt:variant>
      <vt:variant>
        <vt:lpwstr>_Toc202472416</vt:lpwstr>
      </vt:variant>
      <vt:variant>
        <vt:i4>1048627</vt:i4>
      </vt:variant>
      <vt:variant>
        <vt:i4>116</vt:i4>
      </vt:variant>
      <vt:variant>
        <vt:i4>0</vt:i4>
      </vt:variant>
      <vt:variant>
        <vt:i4>5</vt:i4>
      </vt:variant>
      <vt:variant>
        <vt:lpwstr/>
      </vt:variant>
      <vt:variant>
        <vt:lpwstr>_Toc202472415</vt:lpwstr>
      </vt:variant>
      <vt:variant>
        <vt:i4>1048627</vt:i4>
      </vt:variant>
      <vt:variant>
        <vt:i4>110</vt:i4>
      </vt:variant>
      <vt:variant>
        <vt:i4>0</vt:i4>
      </vt:variant>
      <vt:variant>
        <vt:i4>5</vt:i4>
      </vt:variant>
      <vt:variant>
        <vt:lpwstr/>
      </vt:variant>
      <vt:variant>
        <vt:lpwstr>_Toc202472414</vt:lpwstr>
      </vt:variant>
      <vt:variant>
        <vt:i4>1048627</vt:i4>
      </vt:variant>
      <vt:variant>
        <vt:i4>104</vt:i4>
      </vt:variant>
      <vt:variant>
        <vt:i4>0</vt:i4>
      </vt:variant>
      <vt:variant>
        <vt:i4>5</vt:i4>
      </vt:variant>
      <vt:variant>
        <vt:lpwstr/>
      </vt:variant>
      <vt:variant>
        <vt:lpwstr>_Toc202472413</vt:lpwstr>
      </vt:variant>
      <vt:variant>
        <vt:i4>1048627</vt:i4>
      </vt:variant>
      <vt:variant>
        <vt:i4>98</vt:i4>
      </vt:variant>
      <vt:variant>
        <vt:i4>0</vt:i4>
      </vt:variant>
      <vt:variant>
        <vt:i4>5</vt:i4>
      </vt:variant>
      <vt:variant>
        <vt:lpwstr/>
      </vt:variant>
      <vt:variant>
        <vt:lpwstr>_Toc202472412</vt:lpwstr>
      </vt:variant>
      <vt:variant>
        <vt:i4>1048627</vt:i4>
      </vt:variant>
      <vt:variant>
        <vt:i4>92</vt:i4>
      </vt:variant>
      <vt:variant>
        <vt:i4>0</vt:i4>
      </vt:variant>
      <vt:variant>
        <vt:i4>5</vt:i4>
      </vt:variant>
      <vt:variant>
        <vt:lpwstr/>
      </vt:variant>
      <vt:variant>
        <vt:lpwstr>_Toc202472411</vt:lpwstr>
      </vt:variant>
      <vt:variant>
        <vt:i4>1048627</vt:i4>
      </vt:variant>
      <vt:variant>
        <vt:i4>86</vt:i4>
      </vt:variant>
      <vt:variant>
        <vt:i4>0</vt:i4>
      </vt:variant>
      <vt:variant>
        <vt:i4>5</vt:i4>
      </vt:variant>
      <vt:variant>
        <vt:lpwstr/>
      </vt:variant>
      <vt:variant>
        <vt:lpwstr>_Toc202472410</vt:lpwstr>
      </vt:variant>
      <vt:variant>
        <vt:i4>1114163</vt:i4>
      </vt:variant>
      <vt:variant>
        <vt:i4>80</vt:i4>
      </vt:variant>
      <vt:variant>
        <vt:i4>0</vt:i4>
      </vt:variant>
      <vt:variant>
        <vt:i4>5</vt:i4>
      </vt:variant>
      <vt:variant>
        <vt:lpwstr/>
      </vt:variant>
      <vt:variant>
        <vt:lpwstr>_Toc202472409</vt:lpwstr>
      </vt:variant>
      <vt:variant>
        <vt:i4>1114163</vt:i4>
      </vt:variant>
      <vt:variant>
        <vt:i4>74</vt:i4>
      </vt:variant>
      <vt:variant>
        <vt:i4>0</vt:i4>
      </vt:variant>
      <vt:variant>
        <vt:i4>5</vt:i4>
      </vt:variant>
      <vt:variant>
        <vt:lpwstr/>
      </vt:variant>
      <vt:variant>
        <vt:lpwstr>_Toc202472408</vt:lpwstr>
      </vt:variant>
      <vt:variant>
        <vt:i4>1114163</vt:i4>
      </vt:variant>
      <vt:variant>
        <vt:i4>68</vt:i4>
      </vt:variant>
      <vt:variant>
        <vt:i4>0</vt:i4>
      </vt:variant>
      <vt:variant>
        <vt:i4>5</vt:i4>
      </vt:variant>
      <vt:variant>
        <vt:lpwstr/>
      </vt:variant>
      <vt:variant>
        <vt:lpwstr>_Toc202472407</vt:lpwstr>
      </vt:variant>
      <vt:variant>
        <vt:i4>1114163</vt:i4>
      </vt:variant>
      <vt:variant>
        <vt:i4>62</vt:i4>
      </vt:variant>
      <vt:variant>
        <vt:i4>0</vt:i4>
      </vt:variant>
      <vt:variant>
        <vt:i4>5</vt:i4>
      </vt:variant>
      <vt:variant>
        <vt:lpwstr/>
      </vt:variant>
      <vt:variant>
        <vt:lpwstr>_Toc202472406</vt:lpwstr>
      </vt:variant>
      <vt:variant>
        <vt:i4>1114163</vt:i4>
      </vt:variant>
      <vt:variant>
        <vt:i4>56</vt:i4>
      </vt:variant>
      <vt:variant>
        <vt:i4>0</vt:i4>
      </vt:variant>
      <vt:variant>
        <vt:i4>5</vt:i4>
      </vt:variant>
      <vt:variant>
        <vt:lpwstr/>
      </vt:variant>
      <vt:variant>
        <vt:lpwstr>_Toc202472405</vt:lpwstr>
      </vt:variant>
      <vt:variant>
        <vt:i4>1114163</vt:i4>
      </vt:variant>
      <vt:variant>
        <vt:i4>50</vt:i4>
      </vt:variant>
      <vt:variant>
        <vt:i4>0</vt:i4>
      </vt:variant>
      <vt:variant>
        <vt:i4>5</vt:i4>
      </vt:variant>
      <vt:variant>
        <vt:lpwstr/>
      </vt:variant>
      <vt:variant>
        <vt:lpwstr>_Toc202472404</vt:lpwstr>
      </vt:variant>
      <vt:variant>
        <vt:i4>1114163</vt:i4>
      </vt:variant>
      <vt:variant>
        <vt:i4>44</vt:i4>
      </vt:variant>
      <vt:variant>
        <vt:i4>0</vt:i4>
      </vt:variant>
      <vt:variant>
        <vt:i4>5</vt:i4>
      </vt:variant>
      <vt:variant>
        <vt:lpwstr/>
      </vt:variant>
      <vt:variant>
        <vt:lpwstr>_Toc202472403</vt:lpwstr>
      </vt:variant>
      <vt:variant>
        <vt:i4>1114163</vt:i4>
      </vt:variant>
      <vt:variant>
        <vt:i4>38</vt:i4>
      </vt:variant>
      <vt:variant>
        <vt:i4>0</vt:i4>
      </vt:variant>
      <vt:variant>
        <vt:i4>5</vt:i4>
      </vt:variant>
      <vt:variant>
        <vt:lpwstr/>
      </vt:variant>
      <vt:variant>
        <vt:lpwstr>_Toc202472402</vt:lpwstr>
      </vt:variant>
      <vt:variant>
        <vt:i4>1114163</vt:i4>
      </vt:variant>
      <vt:variant>
        <vt:i4>32</vt:i4>
      </vt:variant>
      <vt:variant>
        <vt:i4>0</vt:i4>
      </vt:variant>
      <vt:variant>
        <vt:i4>5</vt:i4>
      </vt:variant>
      <vt:variant>
        <vt:lpwstr/>
      </vt:variant>
      <vt:variant>
        <vt:lpwstr>_Toc202472401</vt:lpwstr>
      </vt:variant>
      <vt:variant>
        <vt:i4>1114163</vt:i4>
      </vt:variant>
      <vt:variant>
        <vt:i4>26</vt:i4>
      </vt:variant>
      <vt:variant>
        <vt:i4>0</vt:i4>
      </vt:variant>
      <vt:variant>
        <vt:i4>5</vt:i4>
      </vt:variant>
      <vt:variant>
        <vt:lpwstr/>
      </vt:variant>
      <vt:variant>
        <vt:lpwstr>_Toc202472400</vt:lpwstr>
      </vt:variant>
      <vt:variant>
        <vt:i4>1572916</vt:i4>
      </vt:variant>
      <vt:variant>
        <vt:i4>20</vt:i4>
      </vt:variant>
      <vt:variant>
        <vt:i4>0</vt:i4>
      </vt:variant>
      <vt:variant>
        <vt:i4>5</vt:i4>
      </vt:variant>
      <vt:variant>
        <vt:lpwstr/>
      </vt:variant>
      <vt:variant>
        <vt:lpwstr>_Toc202472399</vt:lpwstr>
      </vt:variant>
      <vt:variant>
        <vt:i4>1572916</vt:i4>
      </vt:variant>
      <vt:variant>
        <vt:i4>14</vt:i4>
      </vt:variant>
      <vt:variant>
        <vt:i4>0</vt:i4>
      </vt:variant>
      <vt:variant>
        <vt:i4>5</vt:i4>
      </vt:variant>
      <vt:variant>
        <vt:lpwstr/>
      </vt:variant>
      <vt:variant>
        <vt:lpwstr>_Toc202472398</vt:lpwstr>
      </vt:variant>
      <vt:variant>
        <vt:i4>1572916</vt:i4>
      </vt:variant>
      <vt:variant>
        <vt:i4>8</vt:i4>
      </vt:variant>
      <vt:variant>
        <vt:i4>0</vt:i4>
      </vt:variant>
      <vt:variant>
        <vt:i4>5</vt:i4>
      </vt:variant>
      <vt:variant>
        <vt:lpwstr/>
      </vt:variant>
      <vt:variant>
        <vt:lpwstr>_Toc202472397</vt:lpwstr>
      </vt:variant>
      <vt:variant>
        <vt:i4>1572916</vt:i4>
      </vt:variant>
      <vt:variant>
        <vt:i4>2</vt:i4>
      </vt:variant>
      <vt:variant>
        <vt:i4>0</vt:i4>
      </vt:variant>
      <vt:variant>
        <vt:i4>5</vt:i4>
      </vt:variant>
      <vt:variant>
        <vt:lpwstr/>
      </vt:variant>
      <vt:variant>
        <vt:lpwstr>_Toc202472396</vt:lpwstr>
      </vt:variant>
      <vt:variant>
        <vt:i4>5177410</vt:i4>
      </vt:variant>
      <vt:variant>
        <vt:i4>36</vt:i4>
      </vt:variant>
      <vt:variant>
        <vt:i4>0</vt:i4>
      </vt:variant>
      <vt:variant>
        <vt:i4>5</vt:i4>
      </vt:variant>
      <vt:variant>
        <vt:lpwstr>https://www.ohrc.on.ca/en/discussion-paper-reviewing-ontarios-human-rights-system</vt:lpwstr>
      </vt:variant>
      <vt:variant>
        <vt:lpwstr/>
      </vt:variant>
      <vt:variant>
        <vt:i4>4718599</vt:i4>
      </vt:variant>
      <vt:variant>
        <vt:i4>33</vt:i4>
      </vt:variant>
      <vt:variant>
        <vt:i4>0</vt:i4>
      </vt:variant>
      <vt:variant>
        <vt:i4>5</vt:i4>
      </vt:variant>
      <vt:variant>
        <vt:lpwstr>https://ganhri.org/paris-principles/</vt:lpwstr>
      </vt:variant>
      <vt:variant>
        <vt:lpwstr/>
      </vt:variant>
      <vt:variant>
        <vt:i4>4718599</vt:i4>
      </vt:variant>
      <vt:variant>
        <vt:i4>30</vt:i4>
      </vt:variant>
      <vt:variant>
        <vt:i4>0</vt:i4>
      </vt:variant>
      <vt:variant>
        <vt:i4>5</vt:i4>
      </vt:variant>
      <vt:variant>
        <vt:lpwstr>https://ganhri.org/paris-principles/</vt:lpwstr>
      </vt:variant>
      <vt:variant>
        <vt:lpwstr/>
      </vt:variant>
      <vt:variant>
        <vt:i4>4325448</vt:i4>
      </vt:variant>
      <vt:variant>
        <vt:i4>18</vt:i4>
      </vt:variant>
      <vt:variant>
        <vt:i4>0</vt:i4>
      </vt:variant>
      <vt:variant>
        <vt:i4>5</vt:i4>
      </vt:variant>
      <vt:variant>
        <vt:lpwstr>https://www150.statcan.gc.ca/t1/tbl1/en/tv.action?pid=3510013201</vt:lpwstr>
      </vt:variant>
      <vt:variant>
        <vt:lpwstr/>
      </vt:variant>
      <vt:variant>
        <vt:i4>786454</vt:i4>
      </vt:variant>
      <vt:variant>
        <vt:i4>15</vt:i4>
      </vt:variant>
      <vt:variant>
        <vt:i4>0</vt:i4>
      </vt:variant>
      <vt:variant>
        <vt:i4>5</vt:i4>
      </vt:variant>
      <vt:variant>
        <vt:lpwstr>http://www.ohrc.on.ca/en/policy-preventing-discrimination-based-creed</vt:lpwstr>
      </vt:variant>
      <vt:variant>
        <vt:lpwstr/>
      </vt:variant>
      <vt:variant>
        <vt:i4>1441856</vt:i4>
      </vt:variant>
      <vt:variant>
        <vt:i4>12</vt:i4>
      </vt:variant>
      <vt:variant>
        <vt:i4>0</vt:i4>
      </vt:variant>
      <vt:variant>
        <vt:i4>5</vt:i4>
      </vt:variant>
      <vt:variant>
        <vt:lpwstr>https://www.ontario.ca/document/data-standards-identification-and-monitoring-systemic-racism</vt:lpwstr>
      </vt:variant>
      <vt:variant>
        <vt:lpwstr/>
      </vt:variant>
      <vt:variant>
        <vt:i4>1310750</vt:i4>
      </vt:variant>
      <vt:variant>
        <vt:i4>9</vt:i4>
      </vt:variant>
      <vt:variant>
        <vt:i4>0</vt:i4>
      </vt:variant>
      <vt:variant>
        <vt:i4>5</vt:i4>
      </vt:variant>
      <vt:variant>
        <vt:lpwstr>https://www3.ohrc.on.ca/en/policy-ableism-and-discrimination-based-disability/4-intersecting-grounds</vt:lpwstr>
      </vt:variant>
      <vt:variant>
        <vt:lpwstr/>
      </vt:variant>
      <vt:variant>
        <vt:i4>1507398</vt:i4>
      </vt:variant>
      <vt:variant>
        <vt:i4>6</vt:i4>
      </vt:variant>
      <vt:variant>
        <vt:i4>0</vt:i4>
      </vt:variant>
      <vt:variant>
        <vt:i4>5</vt:i4>
      </vt:variant>
      <vt:variant>
        <vt:lpwstr>https://www.ontariocourts.ca/scj/court-locations/all-court-locations/</vt:lpwstr>
      </vt:variant>
      <vt:variant>
        <vt:lpwstr/>
      </vt:variant>
      <vt:variant>
        <vt:i4>4718621</vt:i4>
      </vt:variant>
      <vt:variant>
        <vt:i4>3</vt:i4>
      </vt:variant>
      <vt:variant>
        <vt:i4>0</vt:i4>
      </vt:variant>
      <vt:variant>
        <vt:i4>5</vt:i4>
      </vt:variant>
      <vt:variant>
        <vt:lpwstr>https://tribunalsontario.ca/en/about/open-data/</vt:lpwstr>
      </vt:variant>
      <vt:variant>
        <vt:lpwstr>panel6</vt:lpwstr>
      </vt:variant>
      <vt:variant>
        <vt:i4>3866720</vt:i4>
      </vt:variant>
      <vt:variant>
        <vt:i4>0</vt:i4>
      </vt:variant>
      <vt:variant>
        <vt:i4>0</vt:i4>
      </vt:variant>
      <vt:variant>
        <vt:i4>5</vt:i4>
      </vt:variant>
      <vt:variant>
        <vt:lpwstr>https://www.canadapost-postescanada.ca/cpc/en/support/articles/addressing-guidelines/postal-codes.page</vt:lpwstr>
      </vt:variant>
      <vt:variant>
        <vt:lpwstr/>
      </vt:variant>
      <vt:variant>
        <vt:i4>1900618</vt:i4>
      </vt:variant>
      <vt:variant>
        <vt:i4>12</vt:i4>
      </vt:variant>
      <vt:variant>
        <vt:i4>0</vt:i4>
      </vt:variant>
      <vt:variant>
        <vt:i4>5</vt:i4>
      </vt:variant>
      <vt:variant>
        <vt:lpwstr>https://tribunalsontario.ca/documents/TO/Tribunals_Ontario_2023-2024_Annual_Report.html</vt:lpwstr>
      </vt:variant>
      <vt:variant>
        <vt:lpwstr/>
      </vt:variant>
      <vt:variant>
        <vt:i4>458839</vt:i4>
      </vt:variant>
      <vt:variant>
        <vt:i4>9</vt:i4>
      </vt:variant>
      <vt:variant>
        <vt:i4>0</vt:i4>
      </vt:variant>
      <vt:variant>
        <vt:i4>5</vt:i4>
      </vt:variant>
      <vt:variant>
        <vt:lpwstr>https://tribunalsontario.ca/documents/TO/Tribunals_Ontario_2022-2023_Annual_Report.html</vt:lpwstr>
      </vt:variant>
      <vt:variant>
        <vt:lpwstr>hrto</vt:lpwstr>
      </vt:variant>
      <vt:variant>
        <vt:i4>1507398</vt:i4>
      </vt:variant>
      <vt:variant>
        <vt:i4>6</vt:i4>
      </vt:variant>
      <vt:variant>
        <vt:i4>0</vt:i4>
      </vt:variant>
      <vt:variant>
        <vt:i4>5</vt:i4>
      </vt:variant>
      <vt:variant>
        <vt:lpwstr>https://www.ontariocourts.ca/scj/court-locations/all-court-locations/</vt:lpwstr>
      </vt:variant>
      <vt:variant>
        <vt:lpwstr/>
      </vt:variant>
      <vt:variant>
        <vt:i4>4718621</vt:i4>
      </vt:variant>
      <vt:variant>
        <vt:i4>3</vt:i4>
      </vt:variant>
      <vt:variant>
        <vt:i4>0</vt:i4>
      </vt:variant>
      <vt:variant>
        <vt:i4>5</vt:i4>
      </vt:variant>
      <vt:variant>
        <vt:lpwstr>https://tribunalsontario.ca/en/about/open-data/</vt:lpwstr>
      </vt:variant>
      <vt:variant>
        <vt:lpwstr>panel6</vt:lpwstr>
      </vt:variant>
      <vt:variant>
        <vt:i4>3866720</vt:i4>
      </vt:variant>
      <vt:variant>
        <vt:i4>0</vt:i4>
      </vt:variant>
      <vt:variant>
        <vt:i4>0</vt:i4>
      </vt:variant>
      <vt:variant>
        <vt:i4>5</vt:i4>
      </vt:variant>
      <vt:variant>
        <vt:lpwstr>https://www.canadapost-postescanada.ca/cpc/en/support/articles/addressing-guidelines/postal-codes.page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2024-2025 HRLSC Accessible Annual Report</dc:title>
  <dc:subject>Annual Report    2024–2025</dc:subject>
  <dc:creator>Andrew Ursel</dc:creator>
  <cp:keywords/>
  <dc:description/>
  <cp:lastModifiedBy>Ursel, Andrew (HRLSC)</cp:lastModifiedBy>
  <cp:revision>3</cp:revision>
  <cp:lastPrinted>2025-07-28T15:14:00Z</cp:lastPrinted>
  <dcterms:created xsi:type="dcterms:W3CDTF">2026-04-01T15:15:00Z</dcterms:created>
  <dcterms:modified xsi:type="dcterms:W3CDTF">2026-04-01T15:17:00Z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0x010100137F989F1C755142A0702EF6BABE04AA</vt:lpwstr>
  </property>
</Properties>
</file>