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68A7" w14:textId="7F64EDE9" w:rsidR="00EF4B38" w:rsidRPr="00BF3A3D" w:rsidRDefault="00B60E7C" w:rsidP="00BF3A3D">
      <w:pPr>
        <w:pBdr>
          <w:top w:val="single" w:sz="4" w:space="1" w:color="auto"/>
          <w:left w:val="single" w:sz="4" w:space="4" w:color="auto"/>
          <w:bottom w:val="single" w:sz="4" w:space="1" w:color="auto"/>
          <w:right w:val="single" w:sz="4" w:space="4" w:color="auto"/>
        </w:pBdr>
        <w:jc w:val="center"/>
        <w:rPr>
          <w:b/>
          <w:bCs/>
          <w:sz w:val="32"/>
          <w:szCs w:val="32"/>
        </w:rPr>
      </w:pPr>
      <w:r>
        <w:rPr>
          <w:b/>
          <w:sz w:val="32"/>
        </w:rPr>
        <w:t xml:space="preserve">Guide du Centre d’assistance juridique en matière de droits de la personne (CAJDP) sur l’affirmation des droits de la personne en vertu du </w:t>
      </w:r>
      <w:r>
        <w:rPr>
          <w:b/>
          <w:i/>
          <w:iCs/>
          <w:sz w:val="32"/>
        </w:rPr>
        <w:t>Code des droits de la personne</w:t>
      </w:r>
    </w:p>
    <w:p w14:paraId="73674A61" w14:textId="77777777" w:rsidR="00BF3A3D" w:rsidRDefault="00BF3A3D" w:rsidP="00BA1A3E">
      <w:pPr>
        <w:jc w:val="center"/>
        <w:rPr>
          <w:b/>
          <w:bCs/>
        </w:rPr>
      </w:pPr>
    </w:p>
    <w:p w14:paraId="10130439" w14:textId="77777777" w:rsidR="00BA1A3E" w:rsidRDefault="00BA1A3E"/>
    <w:p w14:paraId="7306FF56" w14:textId="168AD409" w:rsidR="00075C6D" w:rsidRPr="00BF3A3D" w:rsidRDefault="5A85F904" w:rsidP="00A73C7D">
      <w:pPr>
        <w:pStyle w:val="ListParagraph"/>
        <w:numPr>
          <w:ilvl w:val="0"/>
          <w:numId w:val="3"/>
        </w:numPr>
        <w:rPr>
          <w:b/>
          <w:bCs/>
          <w:u w:val="single"/>
        </w:rPr>
      </w:pPr>
      <w:r>
        <w:rPr>
          <w:b/>
          <w:u w:val="single"/>
        </w:rPr>
        <w:t>Introduction</w:t>
      </w:r>
    </w:p>
    <w:p w14:paraId="293827F7" w14:textId="77777777" w:rsidR="00075C6D" w:rsidRDefault="00075C6D"/>
    <w:p w14:paraId="606AA8C8" w14:textId="44667A9A" w:rsidR="00075C6D" w:rsidRDefault="5A85F904" w:rsidP="00B60C93">
      <w:pPr>
        <w:ind w:left="360"/>
      </w:pPr>
      <w:r>
        <w:t xml:space="preserve">Si vous avez été victime de discrimination au sens du </w:t>
      </w:r>
      <w:r>
        <w:rPr>
          <w:i/>
          <w:iCs/>
        </w:rPr>
        <w:t>Code des droits de la personne</w:t>
      </w:r>
      <w:r>
        <w:t xml:space="preserve"> de l’Ontario (le « Code »), vous avez le droit de déposer une requête auprès du Tribunal des droits de la personne de l’Ontario (le « Tribunal » ou le « TDPO ») dans l’année suivant le dernier incident (ou la série d’incidents) de discrimination.</w:t>
      </w:r>
    </w:p>
    <w:p w14:paraId="6FF46648" w14:textId="77777777" w:rsidR="004B1DBC" w:rsidRDefault="004B1DBC" w:rsidP="00B60C93">
      <w:pPr>
        <w:ind w:left="360"/>
      </w:pPr>
    </w:p>
    <w:p w14:paraId="0CC519D7" w14:textId="09B32E42" w:rsidR="0044638B" w:rsidRPr="00B60C93" w:rsidRDefault="00075C6D" w:rsidP="00140800">
      <w:pPr>
        <w:ind w:left="360"/>
        <w:rPr>
          <w:b/>
          <w:bCs/>
        </w:rPr>
      </w:pPr>
      <w:r>
        <w:rPr>
          <w:b/>
        </w:rPr>
        <w:t xml:space="preserve">Toutefois, dans certaines circonstances, vous pourriez être en mesure de régler la situation rapidement sans avoir à déposer une requête pour atteinte aux droits de la personne. </w:t>
      </w:r>
    </w:p>
    <w:p w14:paraId="58DC4B29" w14:textId="77777777" w:rsidR="0044638B" w:rsidRPr="00B60C93" w:rsidRDefault="0044638B" w:rsidP="00140800">
      <w:pPr>
        <w:ind w:left="360"/>
        <w:rPr>
          <w:b/>
          <w:bCs/>
        </w:rPr>
      </w:pPr>
    </w:p>
    <w:p w14:paraId="25A828E8" w14:textId="41B1B4B3" w:rsidR="00BF3A3D" w:rsidRDefault="00075C6D" w:rsidP="00140800">
      <w:pPr>
        <w:ind w:left="360"/>
      </w:pPr>
      <w:r>
        <w:t xml:space="preserve">Les employeurs, les propriétaires ou le personnel des magasins de détail ignorent parfois leurs responsabilités en vertu du </w:t>
      </w:r>
      <w:r>
        <w:rPr>
          <w:i/>
          <w:iCs/>
        </w:rPr>
        <w:t>Code</w:t>
      </w:r>
      <w:r>
        <w:t xml:space="preserve"> ou peuvent vouloir éviter les coûts associés à un éventuel processus judiciaire.</w:t>
      </w:r>
    </w:p>
    <w:p w14:paraId="1A5E9093" w14:textId="77777777" w:rsidR="00BF3A3D" w:rsidRDefault="00BF3A3D" w:rsidP="00140800">
      <w:pPr>
        <w:ind w:left="360"/>
      </w:pPr>
    </w:p>
    <w:p w14:paraId="4E207883" w14:textId="4CB1EFF7" w:rsidR="00075C6D" w:rsidRDefault="5A85F904" w:rsidP="00B60C93">
      <w:pPr>
        <w:ind w:left="360"/>
      </w:pPr>
      <w:r>
        <w:t>Dans ces situations, il peut être utile de tenter d’abord de faire valoir vos droits avant d’envisager d’aller de l’avant avec une requête pour atteinte aux droits de la personne. Vous serez peut-être en mesure de régler le problème sans devoir recourir au processus judiciaire parfois long et souvent complexe du TDPO.</w:t>
      </w:r>
    </w:p>
    <w:p w14:paraId="5DFA6645" w14:textId="77777777" w:rsidR="00075C6D" w:rsidRDefault="00075C6D"/>
    <w:p w14:paraId="0C18665B" w14:textId="77777777" w:rsidR="00BF3A3D" w:rsidRDefault="00BF3A3D"/>
    <w:p w14:paraId="253F54F9" w14:textId="136A0E67" w:rsidR="00075C6D" w:rsidRPr="00BF3A3D" w:rsidRDefault="00075C6D" w:rsidP="00A73C7D">
      <w:pPr>
        <w:pStyle w:val="ListParagraph"/>
        <w:numPr>
          <w:ilvl w:val="0"/>
          <w:numId w:val="3"/>
        </w:numPr>
        <w:rPr>
          <w:b/>
          <w:bCs/>
          <w:u w:val="single"/>
        </w:rPr>
      </w:pPr>
      <w:r>
        <w:rPr>
          <w:b/>
          <w:u w:val="single"/>
        </w:rPr>
        <w:t>Quand devriez-vous faire valoir vos droits?</w:t>
      </w:r>
    </w:p>
    <w:p w14:paraId="05C7E2E0" w14:textId="77777777" w:rsidR="00075C6D" w:rsidRDefault="00075C6D"/>
    <w:p w14:paraId="77D8742E" w14:textId="2902E92E" w:rsidR="00075C6D" w:rsidRDefault="00075C6D" w:rsidP="00625D6D">
      <w:pPr>
        <w:ind w:left="360"/>
      </w:pPr>
      <w:r>
        <w:t>L’affirmation (ou la défense) de vos droits en vertu du Code constitue habituellement une première étape.</w:t>
      </w:r>
    </w:p>
    <w:p w14:paraId="3DFF5127" w14:textId="30F483A3" w:rsidR="00075C6D" w:rsidRDefault="00140800">
      <w:r>
        <w:tab/>
      </w:r>
    </w:p>
    <w:p w14:paraId="50C9D571" w14:textId="12C2253A" w:rsidR="00075C6D" w:rsidRDefault="00075C6D" w:rsidP="00625D6D">
      <w:pPr>
        <w:ind w:left="360"/>
      </w:pPr>
      <w:r>
        <w:t>Cette étape peut être particulièrement utile, par exemple, dans les situations suivantes :</w:t>
      </w:r>
    </w:p>
    <w:p w14:paraId="58010610" w14:textId="77777777" w:rsidR="00075C6D" w:rsidRDefault="00075C6D"/>
    <w:p w14:paraId="070ED3CD" w14:textId="43B3F3EE" w:rsidR="00075C6D" w:rsidRDefault="086C8476" w:rsidP="00075C6D">
      <w:pPr>
        <w:pStyle w:val="ListParagraph"/>
        <w:numPr>
          <w:ilvl w:val="0"/>
          <w:numId w:val="1"/>
        </w:numPr>
      </w:pPr>
      <w:r>
        <w:t xml:space="preserve">La violation du </w:t>
      </w:r>
      <w:r>
        <w:rPr>
          <w:i/>
          <w:iCs/>
        </w:rPr>
        <w:t>Code</w:t>
      </w:r>
      <w:r>
        <w:t xml:space="preserve"> semble claire (p. ex., vous avez dit à votre gestionnaire que vous avez un handicap et que vous avez besoin de mesures d’adaptation sur le lieu de travail, mais votre gestionnaire a fait fi de votre demande);</w:t>
      </w:r>
    </w:p>
    <w:p w14:paraId="7B98CEA9" w14:textId="77777777" w:rsidR="00BF3A3D" w:rsidRDefault="00BF3A3D" w:rsidP="00BF3A3D">
      <w:pPr>
        <w:pStyle w:val="ListParagraph"/>
      </w:pPr>
    </w:p>
    <w:p w14:paraId="4D4D679C" w14:textId="55471F4B" w:rsidR="00075C6D" w:rsidRDefault="4FEA341E" w:rsidP="00075C6D">
      <w:pPr>
        <w:pStyle w:val="ListParagraph"/>
        <w:numPr>
          <w:ilvl w:val="0"/>
          <w:numId w:val="1"/>
        </w:numPr>
      </w:pPr>
      <w:r>
        <w:t xml:space="preserve">Vous avez une relation continue avec la personne ou l’organisation qui exerce de la discrimination contre vous (p. ex., cette discrimination met en cause votre </w:t>
      </w:r>
      <w:r>
        <w:lastRenderedPageBreak/>
        <w:t>employeur actuel ou le propriétaire de votre logement et vous voulez maintenir une relation positive);</w:t>
      </w:r>
    </w:p>
    <w:p w14:paraId="321ECA9C" w14:textId="77777777" w:rsidR="00BF3A3D" w:rsidRDefault="00BF3A3D" w:rsidP="00BF3A3D"/>
    <w:p w14:paraId="6D7FC2EB" w14:textId="6B6AFB05" w:rsidR="005567C5" w:rsidRDefault="660463BA" w:rsidP="00075C6D">
      <w:pPr>
        <w:pStyle w:val="ListParagraph"/>
        <w:numPr>
          <w:ilvl w:val="0"/>
          <w:numId w:val="1"/>
        </w:numPr>
      </w:pPr>
      <w:r>
        <w:t>Vous ne demandez pas une indemnité financière importante. Dans le cas contraire, il serait peut-être préférable de déposer une requête pour atteinte aux droits de la personne auprès du Tribunal.</w:t>
      </w:r>
    </w:p>
    <w:p w14:paraId="30687242" w14:textId="77777777" w:rsidR="00BF3A3D" w:rsidRDefault="00BF3A3D" w:rsidP="00BF3A3D"/>
    <w:p w14:paraId="5340D8B8" w14:textId="2C54A9DA" w:rsidR="005567C5" w:rsidRPr="00A73C7D" w:rsidRDefault="37701878" w:rsidP="337BE382">
      <w:pPr>
        <w:rPr>
          <w:b/>
          <w:bCs/>
        </w:rPr>
      </w:pPr>
      <w:r>
        <w:rPr>
          <w:b/>
        </w:rPr>
        <w:t>Comment faites-vous valoir vos droits?</w:t>
      </w:r>
    </w:p>
    <w:p w14:paraId="1AB19410" w14:textId="77777777" w:rsidR="005567C5" w:rsidRDefault="005567C5" w:rsidP="005567C5"/>
    <w:p w14:paraId="41184DE6" w14:textId="0CADF412" w:rsidR="005567C5" w:rsidRDefault="005567C5" w:rsidP="00140800">
      <w:pPr>
        <w:ind w:firstLine="360"/>
      </w:pPr>
      <w:r>
        <w:t>Pour faire valoir vos droits de manière efficace, voici ce que vous devriez faire :</w:t>
      </w:r>
    </w:p>
    <w:p w14:paraId="1B856ED8" w14:textId="77777777" w:rsidR="005567C5" w:rsidRDefault="005567C5" w:rsidP="005567C5"/>
    <w:p w14:paraId="156EEDEF" w14:textId="49C95D16" w:rsidR="0044638B" w:rsidRDefault="00D249EC" w:rsidP="0044638B">
      <w:pPr>
        <w:pStyle w:val="ListParagraph"/>
        <w:numPr>
          <w:ilvl w:val="0"/>
          <w:numId w:val="2"/>
        </w:numPr>
      </w:pPr>
      <w:r>
        <w:rPr>
          <w:b/>
        </w:rPr>
        <w:t xml:space="preserve">Présenter votre requête par écrit : </w:t>
      </w:r>
      <w:r>
        <w:t>L’envoi d’un courriel ou d’une lettre à votre gestionnaire ou au propriétaire de votre logement montrera que vous êtes sérieux dans votre démarche. Cela créera également une « trace documentaire » de la preuve, qui sera utile si vous décidez de déposer une requête pour atteinte aux droits de la personne à l’avenir;</w:t>
      </w:r>
    </w:p>
    <w:p w14:paraId="07A98F3D" w14:textId="77777777" w:rsidR="00E31B6E" w:rsidRDefault="00E31B6E" w:rsidP="00E31B6E">
      <w:pPr>
        <w:pStyle w:val="ListParagraph"/>
      </w:pPr>
    </w:p>
    <w:p w14:paraId="5DB32231" w14:textId="1DA70C7E" w:rsidR="005567C5" w:rsidRDefault="00D249EC" w:rsidP="005567C5">
      <w:pPr>
        <w:pStyle w:val="ListParagraph"/>
        <w:numPr>
          <w:ilvl w:val="0"/>
          <w:numId w:val="2"/>
        </w:numPr>
      </w:pPr>
      <w:r>
        <w:rPr>
          <w:b/>
          <w:bCs/>
        </w:rPr>
        <w:t>Soumettre votre requête à la bonne personne</w:t>
      </w:r>
      <w:r>
        <w:t> : Adressez-la à une personne de l’organisation ou de l’entreprise qui a le pouvoir de régler la situation de discrimination. Il peut s’agir, par exemple, de votre gestionnaire direct, d’un gestionnaire des ressources humaines, du gérant d’immeuble ou du propriétaire d’un magasin;</w:t>
      </w:r>
    </w:p>
    <w:p w14:paraId="1398C20E" w14:textId="77777777" w:rsidR="00E31B6E" w:rsidRDefault="00E31B6E" w:rsidP="00E31B6E"/>
    <w:p w14:paraId="23AA0340" w14:textId="2C96FE97" w:rsidR="00EA2C88" w:rsidRDefault="00D249EC" w:rsidP="00EA2C88">
      <w:pPr>
        <w:pStyle w:val="ListParagraph"/>
        <w:numPr>
          <w:ilvl w:val="0"/>
          <w:numId w:val="2"/>
        </w:numPr>
      </w:pPr>
      <w:r>
        <w:rPr>
          <w:b/>
          <w:bCs/>
        </w:rPr>
        <w:t>Enregistrer une copie :</w:t>
      </w:r>
      <w:r>
        <w:t xml:space="preserve"> Assurez-vous de conserver une copie de la lettre ou du courriel pour vos dossiers.</w:t>
      </w:r>
    </w:p>
    <w:p w14:paraId="582C26EE" w14:textId="77777777" w:rsidR="00075C6D" w:rsidRDefault="00075C6D"/>
    <w:p w14:paraId="19FC1AED" w14:textId="4753A1A9" w:rsidR="00BA1A3E" w:rsidRPr="00E31B6E" w:rsidRDefault="00E31B6E" w:rsidP="003A21D5">
      <w:pPr>
        <w:pStyle w:val="ListParagraph"/>
        <w:numPr>
          <w:ilvl w:val="0"/>
          <w:numId w:val="3"/>
        </w:numPr>
        <w:rPr>
          <w:u w:val="single"/>
        </w:rPr>
      </w:pPr>
      <w:r>
        <w:rPr>
          <w:b/>
          <w:u w:val="single"/>
        </w:rPr>
        <w:t>Autres éléments d’orientation généraux</w:t>
      </w:r>
    </w:p>
    <w:p w14:paraId="77A1B3D6" w14:textId="77777777" w:rsidR="00BA1A3E" w:rsidRPr="00BA1A3E" w:rsidRDefault="00BA1A3E" w:rsidP="00BA1A3E">
      <w:r>
        <w:t> </w:t>
      </w:r>
    </w:p>
    <w:p w14:paraId="117D0C5C" w14:textId="2ED54BD2" w:rsidR="00BA1A3E" w:rsidRDefault="00E31B6E" w:rsidP="00140800">
      <w:pPr>
        <w:ind w:left="360"/>
      </w:pPr>
      <w:r>
        <w:t xml:space="preserve">Vous trouverez ci-dessous des éléments d’orientation supplémentaires sur ce que vous pouvez inclure dans votre lettre ou votre </w:t>
      </w:r>
      <w:proofErr w:type="spellStart"/>
      <w:r>
        <w:t>courriel</w:t>
      </w:r>
      <w:proofErr w:type="spellEnd"/>
      <w:r>
        <w:t xml:space="preserve"> adressé à la personne, à l’organisation ou à l’entreprise qui, selon vous, a violé vos droits en vertu du </w:t>
      </w:r>
      <w:r>
        <w:rPr>
          <w:i/>
          <w:iCs/>
        </w:rPr>
        <w:t>Code</w:t>
      </w:r>
      <w:r>
        <w:t xml:space="preserve">. </w:t>
      </w:r>
    </w:p>
    <w:p w14:paraId="2DA57C85" w14:textId="77777777" w:rsidR="00BA1A3E" w:rsidRPr="00625D6D" w:rsidRDefault="00BA1A3E" w:rsidP="00BA1A3E"/>
    <w:p w14:paraId="56FE440D" w14:textId="622AA01E" w:rsidR="00BA1A3E" w:rsidRPr="00BA1A3E" w:rsidRDefault="2F47CD70" w:rsidP="00140800">
      <w:pPr>
        <w:ind w:firstLine="360"/>
      </w:pPr>
      <w:r>
        <w:t>Votre lettre ou courriel peut comprendre ce qui suit :</w:t>
      </w:r>
    </w:p>
    <w:p w14:paraId="054FE364" w14:textId="77777777" w:rsidR="00BA1A3E" w:rsidRPr="00BA1A3E" w:rsidRDefault="00BA1A3E" w:rsidP="00BA1A3E">
      <w:r>
        <w:t> </w:t>
      </w:r>
    </w:p>
    <w:p w14:paraId="64D32F1E" w14:textId="23EF44FC" w:rsidR="00BA1A3E" w:rsidRPr="00EA2C88" w:rsidRDefault="0C812D74" w:rsidP="00E31B6E">
      <w:pPr>
        <w:pStyle w:val="ListParagraph"/>
        <w:numPr>
          <w:ilvl w:val="0"/>
          <w:numId w:val="6"/>
        </w:numPr>
      </w:pPr>
      <w:r>
        <w:rPr>
          <w:b/>
          <w:bCs/>
        </w:rPr>
        <w:t>Faits pertinents</w:t>
      </w:r>
      <w:r>
        <w:t xml:space="preserve"> : Décrivez les faits qui ont mené à l’incident de discrimination, de préférence en ordre chronologique, en indiquant les dates et les heures; </w:t>
      </w:r>
    </w:p>
    <w:p w14:paraId="5AEC820D" w14:textId="77777777" w:rsidR="00BA1A3E" w:rsidRPr="00BA1A3E" w:rsidRDefault="00BA1A3E" w:rsidP="00BA1A3E"/>
    <w:p w14:paraId="14C39028" w14:textId="2B2DFB69" w:rsidR="00BA1A3E" w:rsidRPr="00EA2C88" w:rsidRDefault="0C812D74" w:rsidP="00E31B6E">
      <w:pPr>
        <w:pStyle w:val="ListParagraph"/>
        <w:numPr>
          <w:ilvl w:val="0"/>
          <w:numId w:val="6"/>
        </w:numPr>
      </w:pPr>
      <w:r>
        <w:rPr>
          <w:b/>
          <w:bCs/>
        </w:rPr>
        <w:t>Lien avec le ou les motifs du Code</w:t>
      </w:r>
      <w:r>
        <w:t> : Expliquez en quoi le traitement injuste que vous avez subi est lié à un motif de discrimination illicite, comme votre race, votre âge, votre handicap, votre sexe, votre religion ou votre lieu d’origine, etc.;</w:t>
      </w:r>
    </w:p>
    <w:p w14:paraId="1EEF7A11" w14:textId="77777777" w:rsidR="00BA1A3E" w:rsidRPr="00BA1A3E" w:rsidRDefault="00BA1A3E" w:rsidP="00BA1A3E"/>
    <w:p w14:paraId="2D7E047B" w14:textId="2BD2BB78" w:rsidR="00BA1A3E" w:rsidRPr="00EA2C88" w:rsidRDefault="00BA1A3E" w:rsidP="00E31B6E">
      <w:pPr>
        <w:pStyle w:val="ListParagraph"/>
        <w:numPr>
          <w:ilvl w:val="0"/>
          <w:numId w:val="6"/>
        </w:numPr>
      </w:pPr>
      <w:r>
        <w:rPr>
          <w:b/>
          <w:bCs/>
        </w:rPr>
        <w:t xml:space="preserve">Affirmation des droits en vertu du </w:t>
      </w:r>
      <w:r>
        <w:rPr>
          <w:b/>
          <w:bCs/>
          <w:i/>
          <w:iCs/>
        </w:rPr>
        <w:t>Code</w:t>
      </w:r>
      <w:r>
        <w:t> : Indiquez lesquels de vos droits en vertu du Code auraient été violés;</w:t>
      </w:r>
    </w:p>
    <w:p w14:paraId="505922E2" w14:textId="77777777" w:rsidR="00BA1A3E" w:rsidRPr="00BA1A3E" w:rsidRDefault="00BA1A3E" w:rsidP="00BA1A3E"/>
    <w:p w14:paraId="567EB421" w14:textId="21C81EC8" w:rsidR="00BA1A3E" w:rsidRPr="00EA2C88" w:rsidRDefault="0C812D74" w:rsidP="00E31B6E">
      <w:pPr>
        <w:pStyle w:val="ListParagraph"/>
        <w:numPr>
          <w:ilvl w:val="0"/>
          <w:numId w:val="6"/>
        </w:numPr>
      </w:pPr>
      <w:r>
        <w:rPr>
          <w:b/>
          <w:bCs/>
        </w:rPr>
        <w:t>Résolution et échéancier</w:t>
      </w:r>
      <w:r>
        <w:t xml:space="preserve"> : Expliquez ce à quoi vous vous attendez de l’employeur, du propriétaire de votre logement, etc. pour corriger la situation de discrimination (p. ex., un logement temporaire, une modification de la politique, etc.) et indiquez une date limite raisonnable pour répondre (p. ex., une semaine); </w:t>
      </w:r>
    </w:p>
    <w:p w14:paraId="2C1B7FB7" w14:textId="77777777" w:rsidR="00BA1A3E" w:rsidRPr="00BA1A3E" w:rsidRDefault="00BA1A3E" w:rsidP="00BA1A3E"/>
    <w:p w14:paraId="55D140D6" w14:textId="05A6627D" w:rsidR="00BA1A3E" w:rsidRPr="00BA1A3E" w:rsidRDefault="0C812D74" w:rsidP="00E31B6E">
      <w:pPr>
        <w:pStyle w:val="ListParagraph"/>
        <w:numPr>
          <w:ilvl w:val="0"/>
          <w:numId w:val="6"/>
        </w:numPr>
      </w:pPr>
      <w:r>
        <w:rPr>
          <w:b/>
          <w:bCs/>
        </w:rPr>
        <w:t>Documents justificatifs</w:t>
      </w:r>
      <w:r>
        <w:t xml:space="preserve"> : Fournir des documents à l’appui, s’il y a lieu. Par exemple, si vous demandez des changements à votre lieu de travail ou à votre emploi en raison d’un handicap, joignez des documents médicaux à l’appui à votre lettre ou à votre courriel. Pour obtenir de plus amples renseignements sur le type de documents médicaux appropriés, veuillez consulter la </w:t>
      </w:r>
      <w:hyperlink r:id="rId10">
        <w:r>
          <w:rPr>
            <w:rStyle w:val="Hyperlink"/>
            <w:i/>
          </w:rPr>
          <w:t>politique sur les documents médicaux</w:t>
        </w:r>
      </w:hyperlink>
      <w:r>
        <w:t xml:space="preserve"> de la Commission ontarienne des droits de la personne (CODP).</w:t>
      </w:r>
    </w:p>
    <w:p w14:paraId="3907E8C5" w14:textId="4F271900" w:rsidR="00BA1A3E" w:rsidRPr="00BA1A3E" w:rsidRDefault="00BA1A3E" w:rsidP="00BA1A3E">
      <w:r>
        <w:t> </w:t>
      </w:r>
    </w:p>
    <w:p w14:paraId="7F799F89" w14:textId="5CB82C98" w:rsidR="00BA1A3E" w:rsidRPr="00E31B6E" w:rsidRDefault="00BA1A3E" w:rsidP="003A21D5">
      <w:pPr>
        <w:pStyle w:val="ListParagraph"/>
        <w:numPr>
          <w:ilvl w:val="0"/>
          <w:numId w:val="3"/>
        </w:numPr>
        <w:rPr>
          <w:u w:val="single"/>
        </w:rPr>
      </w:pPr>
      <w:r>
        <w:rPr>
          <w:b/>
          <w:u w:val="single"/>
        </w:rPr>
        <w:t>Outils publics d’éducation juridique</w:t>
      </w:r>
    </w:p>
    <w:p w14:paraId="77EA4007" w14:textId="77777777" w:rsidR="00BA1A3E" w:rsidRPr="00BA1A3E" w:rsidRDefault="00BA1A3E" w:rsidP="00BA1A3E">
      <w:r>
        <w:t> </w:t>
      </w:r>
    </w:p>
    <w:p w14:paraId="6AEEDEB6" w14:textId="229D6C78" w:rsidR="00147A57" w:rsidRDefault="00BA1A3E" w:rsidP="00140800">
      <w:pPr>
        <w:ind w:left="360"/>
      </w:pPr>
      <w:r>
        <w:t>La CODP a de nombreuses politiques auxquelles vous pouvez faire référence lorsque vous défendez vos droits.</w:t>
      </w:r>
    </w:p>
    <w:p w14:paraId="624951B6" w14:textId="77777777" w:rsidR="00147A57" w:rsidRPr="00625D6D" w:rsidRDefault="00147A57" w:rsidP="00BA1A3E"/>
    <w:p w14:paraId="17D4F537" w14:textId="77777777" w:rsidR="00292A8A" w:rsidRDefault="00147A57" w:rsidP="00140800">
      <w:pPr>
        <w:ind w:left="360"/>
      </w:pPr>
      <w:r>
        <w:t xml:space="preserve">Vous pouvez utiliser des extraits des politiques dans votre lettre ou votre courriel ou inclure un lien y renvoyant. </w:t>
      </w:r>
    </w:p>
    <w:p w14:paraId="5EC4BB49" w14:textId="77777777" w:rsidR="00BA1A3E" w:rsidRDefault="00BA1A3E" w:rsidP="00BA1A3E">
      <w:r>
        <w:t> </w:t>
      </w:r>
    </w:p>
    <w:p w14:paraId="3545B9ED" w14:textId="1E790186" w:rsidR="00292A8A" w:rsidRDefault="00292A8A" w:rsidP="00140800">
      <w:pPr>
        <w:ind w:firstLine="360"/>
      </w:pPr>
      <w:r>
        <w:t>Voici les politiques de la CODP associées à différents types de discrimination :</w:t>
      </w:r>
    </w:p>
    <w:p w14:paraId="288914D3" w14:textId="77777777" w:rsidR="00292A8A" w:rsidRPr="00BA1A3E" w:rsidRDefault="00292A8A" w:rsidP="00BA1A3E"/>
    <w:p w14:paraId="485C107F" w14:textId="10BEAFC8" w:rsidR="00292A8A" w:rsidRPr="00292A8A" w:rsidRDefault="00BA1A3E" w:rsidP="00292A8A">
      <w:pPr>
        <w:pStyle w:val="ListParagraph"/>
        <w:numPr>
          <w:ilvl w:val="0"/>
          <w:numId w:val="5"/>
        </w:numPr>
        <w:rPr>
          <w:i/>
          <w:iCs/>
        </w:rPr>
      </w:pPr>
      <w:r>
        <w:rPr>
          <w:b/>
        </w:rPr>
        <w:t>Âge</w:t>
      </w:r>
      <w:r>
        <w:rPr>
          <w:i/>
        </w:rPr>
        <w:t xml:space="preserve">                                                  </w:t>
      </w:r>
    </w:p>
    <w:p w14:paraId="681CB910" w14:textId="77777777" w:rsidR="00140800" w:rsidRDefault="00140800" w:rsidP="00140800">
      <w:pPr>
        <w:rPr>
          <w:i/>
          <w:iCs/>
          <w:lang w:val="en-CA"/>
        </w:rPr>
      </w:pPr>
    </w:p>
    <w:p w14:paraId="3C51C6B2" w14:textId="6E73B612" w:rsidR="00BA1A3E" w:rsidRDefault="00BA1A3E" w:rsidP="00140800">
      <w:pPr>
        <w:ind w:firstLine="360"/>
        <w:rPr>
          <w:i/>
          <w:iCs/>
        </w:rPr>
      </w:pPr>
      <w:hyperlink r:id="rId11" w:history="1">
        <w:r>
          <w:rPr>
            <w:rStyle w:val="Hyperlink"/>
            <w:i/>
          </w:rPr>
          <w:t>Politique sur la discrimination fondée sur l’âge à l’endroit des personnes âgées</w:t>
        </w:r>
      </w:hyperlink>
      <w:r>
        <w:rPr>
          <w:i/>
        </w:rPr>
        <w:t xml:space="preserve"> </w:t>
      </w:r>
    </w:p>
    <w:p w14:paraId="6D0EDE51" w14:textId="77777777" w:rsidR="00140800" w:rsidRPr="00BA1A3E" w:rsidRDefault="00140800" w:rsidP="00BA1A3E"/>
    <w:p w14:paraId="16EE768B" w14:textId="3D2E13B8" w:rsidR="00292A8A" w:rsidRPr="00292A8A" w:rsidRDefault="0C812D74" w:rsidP="00292A8A">
      <w:pPr>
        <w:pStyle w:val="ListParagraph"/>
        <w:numPr>
          <w:ilvl w:val="0"/>
          <w:numId w:val="5"/>
        </w:numPr>
      </w:pPr>
      <w:r>
        <w:rPr>
          <w:b/>
        </w:rPr>
        <w:t>Croyance (p. ex., les croyances religieuses)</w:t>
      </w:r>
      <w:r>
        <w:rPr>
          <w:i/>
        </w:rPr>
        <w:t xml:space="preserve">                                             </w:t>
      </w:r>
    </w:p>
    <w:p w14:paraId="44B1A768" w14:textId="77777777" w:rsidR="00292A8A" w:rsidRPr="00625D6D" w:rsidRDefault="00292A8A" w:rsidP="00292A8A">
      <w:pPr>
        <w:rPr>
          <w:i/>
          <w:iCs/>
        </w:rPr>
      </w:pPr>
    </w:p>
    <w:p w14:paraId="28407913" w14:textId="62CC3F3C" w:rsidR="00BA1A3E" w:rsidRPr="00BA1A3E" w:rsidRDefault="00BA1A3E" w:rsidP="00140800">
      <w:pPr>
        <w:ind w:firstLine="360"/>
      </w:pPr>
      <w:hyperlink r:id="rId12" w:history="1">
        <w:r>
          <w:rPr>
            <w:rStyle w:val="Hyperlink"/>
            <w:i/>
          </w:rPr>
          <w:t>Politique de prévention de la discrimination fondée sur la croyance</w:t>
        </w:r>
      </w:hyperlink>
    </w:p>
    <w:p w14:paraId="5F4105D8" w14:textId="77777777" w:rsidR="00292A8A" w:rsidRPr="00625D6D" w:rsidRDefault="00292A8A" w:rsidP="00BA1A3E">
      <w:pPr>
        <w:rPr>
          <w:b/>
          <w:bCs/>
        </w:rPr>
      </w:pPr>
    </w:p>
    <w:p w14:paraId="7CFDA13B" w14:textId="77777777" w:rsidR="00292A8A" w:rsidRPr="00292A8A" w:rsidRDefault="00BA1A3E" w:rsidP="00292A8A">
      <w:pPr>
        <w:pStyle w:val="ListParagraph"/>
        <w:numPr>
          <w:ilvl w:val="0"/>
          <w:numId w:val="5"/>
        </w:numPr>
        <w:rPr>
          <w:i/>
          <w:iCs/>
        </w:rPr>
      </w:pPr>
      <w:r>
        <w:rPr>
          <w:b/>
        </w:rPr>
        <w:t>Handicap</w:t>
      </w:r>
      <w:r>
        <w:rPr>
          <w:i/>
        </w:rPr>
        <w:t xml:space="preserve">                                      </w:t>
      </w:r>
    </w:p>
    <w:p w14:paraId="2B1475D6" w14:textId="77777777" w:rsidR="00292A8A" w:rsidRDefault="00292A8A" w:rsidP="00BA1A3E">
      <w:pPr>
        <w:rPr>
          <w:i/>
          <w:iCs/>
          <w:lang w:val="en-CA"/>
        </w:rPr>
      </w:pPr>
    </w:p>
    <w:p w14:paraId="4C71A2A5" w14:textId="6752D7A6" w:rsidR="00BA1A3E" w:rsidRPr="00BA1A3E" w:rsidRDefault="00BA1A3E" w:rsidP="00140800">
      <w:pPr>
        <w:ind w:firstLine="360"/>
      </w:pPr>
      <w:hyperlink r:id="rId13" w:history="1">
        <w:r>
          <w:rPr>
            <w:rStyle w:val="Hyperlink"/>
            <w:i/>
          </w:rPr>
          <w:t>Politique sur le capacitisme et la discrimination fondée sur le handicap</w:t>
        </w:r>
      </w:hyperlink>
    </w:p>
    <w:p w14:paraId="47493841" w14:textId="77777777" w:rsidR="00292A8A" w:rsidRDefault="00BA1A3E" w:rsidP="00BA1A3E">
      <w:pPr>
        <w:rPr>
          <w:i/>
          <w:iCs/>
        </w:rPr>
      </w:pPr>
      <w:r>
        <w:rPr>
          <w:i/>
        </w:rPr>
        <w:t>                                                         </w:t>
      </w:r>
    </w:p>
    <w:p w14:paraId="3E797E7D" w14:textId="1B3F4999" w:rsidR="00BA1A3E" w:rsidRPr="00BA1A3E" w:rsidRDefault="00BA1A3E" w:rsidP="00140800">
      <w:pPr>
        <w:ind w:left="360"/>
      </w:pPr>
      <w:hyperlink r:id="rId14" w:history="1">
        <w:r>
          <w:rPr>
            <w:rStyle w:val="Hyperlink"/>
            <w:i/>
          </w:rPr>
          <w:t>Politique sur la prévention de la discrimination fondée sur les troubles mentaux et les dépendances</w:t>
        </w:r>
      </w:hyperlink>
    </w:p>
    <w:p w14:paraId="1DB14E5F" w14:textId="77777777" w:rsidR="00292A8A" w:rsidRPr="00625D6D" w:rsidRDefault="00292A8A" w:rsidP="00BA1A3E">
      <w:pPr>
        <w:rPr>
          <w:b/>
          <w:bCs/>
        </w:rPr>
      </w:pPr>
    </w:p>
    <w:p w14:paraId="573F2AD1" w14:textId="14EE2F53" w:rsidR="00686B59" w:rsidRPr="00686B59" w:rsidRDefault="0C812D74" w:rsidP="337BE382">
      <w:pPr>
        <w:pStyle w:val="ListParagraph"/>
        <w:numPr>
          <w:ilvl w:val="0"/>
          <w:numId w:val="5"/>
        </w:numPr>
        <w:rPr>
          <w:i/>
          <w:iCs/>
        </w:rPr>
      </w:pPr>
      <w:r>
        <w:rPr>
          <w:b/>
        </w:rPr>
        <w:t>État matrimonial ou familial</w:t>
      </w:r>
      <w:r>
        <w:rPr>
          <w:i/>
        </w:rPr>
        <w:t xml:space="preserve">                             </w:t>
      </w:r>
    </w:p>
    <w:p w14:paraId="01E6E1BB" w14:textId="77777777" w:rsidR="00686B59" w:rsidRDefault="00686B59" w:rsidP="00BA1A3E">
      <w:pPr>
        <w:rPr>
          <w:i/>
          <w:iCs/>
          <w:lang w:val="en-CA"/>
        </w:rPr>
      </w:pPr>
    </w:p>
    <w:p w14:paraId="55F6667D" w14:textId="5708935E" w:rsidR="00BA1A3E" w:rsidRPr="00BA1A3E" w:rsidRDefault="00BA1A3E" w:rsidP="00140800">
      <w:pPr>
        <w:ind w:firstLine="360"/>
      </w:pPr>
      <w:hyperlink r:id="rId15" w:history="1">
        <w:r>
          <w:rPr>
            <w:rStyle w:val="Hyperlink"/>
            <w:i/>
          </w:rPr>
          <w:t>Politique et directives concernant la discrimination au motif de l’état familial</w:t>
        </w:r>
      </w:hyperlink>
    </w:p>
    <w:p w14:paraId="6032BF30" w14:textId="77777777" w:rsidR="00292A8A" w:rsidRPr="00625D6D" w:rsidRDefault="00292A8A" w:rsidP="00BA1A3E">
      <w:pPr>
        <w:rPr>
          <w:b/>
          <w:bCs/>
        </w:rPr>
      </w:pPr>
    </w:p>
    <w:p w14:paraId="4B0E35B4" w14:textId="2670525B" w:rsidR="00686B59" w:rsidRPr="00686B59" w:rsidRDefault="00BA1A3E" w:rsidP="00686B59">
      <w:pPr>
        <w:pStyle w:val="ListParagraph"/>
        <w:numPr>
          <w:ilvl w:val="0"/>
          <w:numId w:val="5"/>
        </w:numPr>
        <w:rPr>
          <w:i/>
          <w:iCs/>
        </w:rPr>
      </w:pPr>
      <w:r>
        <w:rPr>
          <w:b/>
        </w:rPr>
        <w:lastRenderedPageBreak/>
        <w:t>Identité sexuelle et expression de l’identité sexuelle :</w:t>
      </w:r>
      <w:r>
        <w:rPr>
          <w:i/>
        </w:rPr>
        <w:t xml:space="preserve">         </w:t>
      </w:r>
    </w:p>
    <w:p w14:paraId="56CEFCA0" w14:textId="77777777" w:rsidR="00686B59" w:rsidRPr="00625D6D" w:rsidRDefault="00686B59" w:rsidP="00BA1A3E">
      <w:pPr>
        <w:rPr>
          <w:i/>
          <w:iCs/>
        </w:rPr>
      </w:pPr>
    </w:p>
    <w:p w14:paraId="68C6A485" w14:textId="760C52C7" w:rsidR="00BA1A3E" w:rsidRPr="00BA1A3E" w:rsidRDefault="00BA1A3E" w:rsidP="00625D6D">
      <w:pPr>
        <w:ind w:left="360"/>
      </w:pPr>
      <w:hyperlink r:id="rId16" w:history="1">
        <w:r>
          <w:rPr>
            <w:rStyle w:val="Hyperlink"/>
            <w:i/>
          </w:rPr>
          <w:t>Politique sur la prévention de la discrimination fondée sur l’identité sexuelle et l’expression de l’identité sexuelle</w:t>
        </w:r>
      </w:hyperlink>
      <w:r>
        <w:rPr>
          <w:i/>
        </w:rPr>
        <w:t xml:space="preserve"> </w:t>
      </w:r>
    </w:p>
    <w:p w14:paraId="6C7D38B6" w14:textId="77777777" w:rsidR="00292A8A" w:rsidRPr="00625D6D" w:rsidRDefault="00292A8A" w:rsidP="00BA1A3E">
      <w:pPr>
        <w:rPr>
          <w:b/>
          <w:bCs/>
        </w:rPr>
      </w:pPr>
    </w:p>
    <w:p w14:paraId="488CA2DA" w14:textId="3469F022" w:rsidR="00686B59" w:rsidRPr="00686B59" w:rsidRDefault="00BA1A3E" w:rsidP="00686B59">
      <w:pPr>
        <w:pStyle w:val="ListParagraph"/>
        <w:numPr>
          <w:ilvl w:val="0"/>
          <w:numId w:val="5"/>
        </w:numPr>
        <w:rPr>
          <w:i/>
          <w:iCs/>
        </w:rPr>
      </w:pPr>
      <w:r>
        <w:rPr>
          <w:b/>
        </w:rPr>
        <w:t>Race, couleur, origine ethnique, lieu d’origine, ascendance, citoyenneté</w:t>
      </w:r>
      <w:r>
        <w:rPr>
          <w:i/>
        </w:rPr>
        <w:t>         </w:t>
      </w:r>
    </w:p>
    <w:p w14:paraId="65B0BE8D" w14:textId="77777777" w:rsidR="00686B59" w:rsidRPr="00625D6D" w:rsidRDefault="00686B59" w:rsidP="00BA1A3E">
      <w:pPr>
        <w:rPr>
          <w:i/>
          <w:iCs/>
        </w:rPr>
      </w:pPr>
    </w:p>
    <w:p w14:paraId="73D9D620" w14:textId="2E2A3209" w:rsidR="00686B59" w:rsidRPr="00BA1A3E" w:rsidRDefault="00686B59" w:rsidP="00140800">
      <w:pPr>
        <w:ind w:firstLine="360"/>
      </w:pPr>
      <w:hyperlink r:id="rId17" w:history="1">
        <w:r>
          <w:rPr>
            <w:rStyle w:val="Hyperlink"/>
            <w:i/>
          </w:rPr>
          <w:t>Politique et directives sur le racisme et la discrimination raciale</w:t>
        </w:r>
      </w:hyperlink>
    </w:p>
    <w:p w14:paraId="059BD4E9" w14:textId="77777777" w:rsidR="00686B59" w:rsidRPr="00625D6D" w:rsidRDefault="00686B59" w:rsidP="00BA1A3E">
      <w:pPr>
        <w:rPr>
          <w:i/>
          <w:iCs/>
        </w:rPr>
      </w:pPr>
    </w:p>
    <w:p w14:paraId="7E120563" w14:textId="32CDACB4" w:rsidR="00686B59" w:rsidRPr="00BA1A3E" w:rsidRDefault="00686B59" w:rsidP="00140800">
      <w:pPr>
        <w:ind w:firstLine="360"/>
      </w:pPr>
      <w:hyperlink r:id="rId18" w:history="1">
        <w:r>
          <w:rPr>
            <w:rStyle w:val="Hyperlink"/>
            <w:i/>
          </w:rPr>
          <w:t>Politique sur la suppression des obstacles liés à l’« expérience canadienne »</w:t>
        </w:r>
      </w:hyperlink>
      <w:r>
        <w:rPr>
          <w:i/>
        </w:rPr>
        <w:t xml:space="preserve"> </w:t>
      </w:r>
    </w:p>
    <w:p w14:paraId="17C2D14A" w14:textId="77777777" w:rsidR="00686B59" w:rsidRPr="00625D6D" w:rsidRDefault="00686B59" w:rsidP="00BA1A3E">
      <w:pPr>
        <w:rPr>
          <w:i/>
          <w:iCs/>
        </w:rPr>
      </w:pPr>
    </w:p>
    <w:p w14:paraId="27A27DBA" w14:textId="1A2DA904" w:rsidR="00BA1A3E" w:rsidRPr="00BA1A3E" w:rsidRDefault="00BA1A3E" w:rsidP="00140800">
      <w:pPr>
        <w:ind w:firstLine="360"/>
      </w:pPr>
      <w:hyperlink r:id="rId19" w:history="1">
        <w:r>
          <w:rPr>
            <w:rStyle w:val="Hyperlink"/>
            <w:i/>
          </w:rPr>
          <w:t>Énoncé de politique concernant les Francophones, la langue et la discrimination</w:t>
        </w:r>
      </w:hyperlink>
      <w:r>
        <w:rPr>
          <w:i/>
        </w:rPr>
        <w:t xml:space="preserve"> </w:t>
      </w:r>
    </w:p>
    <w:p w14:paraId="15A521FF" w14:textId="151D54DB" w:rsidR="00686B59" w:rsidRPr="00686B59" w:rsidRDefault="00BA1A3E" w:rsidP="00BA1A3E">
      <w:pPr>
        <w:rPr>
          <w:i/>
          <w:iCs/>
        </w:rPr>
      </w:pPr>
      <w:r>
        <w:rPr>
          <w:i/>
        </w:rPr>
        <w:t>                                                         </w:t>
      </w:r>
    </w:p>
    <w:p w14:paraId="141920A6" w14:textId="2ECF025B" w:rsidR="00686B59" w:rsidRPr="002A767E" w:rsidRDefault="00BA1A3E" w:rsidP="002A767E">
      <w:pPr>
        <w:pStyle w:val="ListParagraph"/>
        <w:numPr>
          <w:ilvl w:val="0"/>
          <w:numId w:val="5"/>
        </w:numPr>
        <w:rPr>
          <w:i/>
          <w:iCs/>
        </w:rPr>
      </w:pPr>
      <w:r>
        <w:rPr>
          <w:b/>
        </w:rPr>
        <w:t>Sexe</w:t>
      </w:r>
      <w:r>
        <w:rPr>
          <w:i/>
        </w:rPr>
        <w:t xml:space="preserve">                                 </w:t>
      </w:r>
    </w:p>
    <w:p w14:paraId="3F791747" w14:textId="77777777" w:rsidR="00686B59" w:rsidRDefault="00686B59" w:rsidP="00BA1A3E">
      <w:pPr>
        <w:rPr>
          <w:i/>
          <w:iCs/>
          <w:lang w:val="en-CA"/>
        </w:rPr>
      </w:pPr>
    </w:p>
    <w:p w14:paraId="0EDCA339" w14:textId="44858B52" w:rsidR="00BA1A3E" w:rsidRPr="00BA1A3E" w:rsidRDefault="00BA1A3E" w:rsidP="00625D6D">
      <w:pPr>
        <w:ind w:left="360"/>
      </w:pPr>
      <w:hyperlink r:id="rId20" w:history="1">
        <w:r>
          <w:rPr>
            <w:rStyle w:val="Hyperlink"/>
            <w:i/>
          </w:rPr>
          <w:t>Politique sur la prévention du harcèlement sexuel et du harcèlement fondé sur le sexe</w:t>
        </w:r>
      </w:hyperlink>
      <w:r>
        <w:rPr>
          <w:i/>
        </w:rPr>
        <w:t xml:space="preserve"> </w:t>
      </w:r>
    </w:p>
    <w:p w14:paraId="43AC6078" w14:textId="77777777" w:rsidR="00686B59" w:rsidRDefault="00BA1A3E" w:rsidP="00BA1A3E">
      <w:pPr>
        <w:rPr>
          <w:i/>
          <w:iCs/>
        </w:rPr>
      </w:pPr>
      <w:r>
        <w:rPr>
          <w:i/>
        </w:rPr>
        <w:t>                                                         </w:t>
      </w:r>
    </w:p>
    <w:p w14:paraId="416E88AA" w14:textId="66A9B98E" w:rsidR="00BA1A3E" w:rsidRPr="00BA1A3E" w:rsidRDefault="00BA1A3E" w:rsidP="00625D6D">
      <w:pPr>
        <w:ind w:left="360"/>
      </w:pPr>
      <w:hyperlink r:id="rId21" w:history="1">
        <w:r>
          <w:rPr>
            <w:rStyle w:val="Hyperlink"/>
            <w:i/>
          </w:rPr>
          <w:t>Politique sur la prévention de la discrimination fondée sur la grossesse et l’allaitement</w:t>
        </w:r>
      </w:hyperlink>
      <w:r>
        <w:rPr>
          <w:i/>
        </w:rPr>
        <w:t xml:space="preserve"> </w:t>
      </w:r>
    </w:p>
    <w:p w14:paraId="0CF2A2D6" w14:textId="77777777" w:rsidR="00686B59" w:rsidRPr="00625D6D" w:rsidRDefault="00686B59" w:rsidP="00BA1A3E">
      <w:pPr>
        <w:rPr>
          <w:b/>
          <w:bCs/>
        </w:rPr>
      </w:pPr>
    </w:p>
    <w:p w14:paraId="4C77F912" w14:textId="77DB9E48" w:rsidR="00686B59" w:rsidRPr="002A767E" w:rsidRDefault="00BA1A3E" w:rsidP="002A767E">
      <w:pPr>
        <w:pStyle w:val="ListParagraph"/>
        <w:numPr>
          <w:ilvl w:val="0"/>
          <w:numId w:val="5"/>
        </w:numPr>
        <w:rPr>
          <w:i/>
          <w:iCs/>
        </w:rPr>
      </w:pPr>
      <w:r>
        <w:rPr>
          <w:b/>
        </w:rPr>
        <w:t>Orientation sexuelle</w:t>
      </w:r>
      <w:r>
        <w:rPr>
          <w:i/>
        </w:rPr>
        <w:t xml:space="preserve">                     </w:t>
      </w:r>
    </w:p>
    <w:p w14:paraId="252E79C7" w14:textId="77777777" w:rsidR="00686B59" w:rsidRDefault="00686B59" w:rsidP="00BA1A3E">
      <w:pPr>
        <w:rPr>
          <w:i/>
          <w:iCs/>
          <w:lang w:val="en-CA"/>
        </w:rPr>
      </w:pPr>
    </w:p>
    <w:p w14:paraId="487DBC1F" w14:textId="1E0C47A8" w:rsidR="00BA1A3E" w:rsidRPr="00BA1A3E" w:rsidRDefault="00BA1A3E" w:rsidP="00625D6D">
      <w:pPr>
        <w:ind w:left="360"/>
      </w:pPr>
      <w:hyperlink r:id="rId22" w:history="1">
        <w:r>
          <w:rPr>
            <w:rStyle w:val="Hyperlink"/>
            <w:i/>
          </w:rPr>
          <w:t>Politique concernant la discrimination et le harcèlement fondés sur l’orientation sexuelle</w:t>
        </w:r>
      </w:hyperlink>
      <w:r>
        <w:rPr>
          <w:i/>
        </w:rPr>
        <w:t xml:space="preserve"> </w:t>
      </w:r>
    </w:p>
    <w:p w14:paraId="16B009BE" w14:textId="77777777" w:rsidR="00686B59" w:rsidRPr="00625D6D" w:rsidRDefault="00686B59" w:rsidP="00BA1A3E">
      <w:pPr>
        <w:rPr>
          <w:b/>
          <w:bCs/>
        </w:rPr>
      </w:pPr>
    </w:p>
    <w:p w14:paraId="14E07403" w14:textId="528FD3F1" w:rsidR="00686B59" w:rsidRPr="002A767E" w:rsidRDefault="00BA1A3E" w:rsidP="002A767E">
      <w:pPr>
        <w:pStyle w:val="ListParagraph"/>
        <w:numPr>
          <w:ilvl w:val="0"/>
          <w:numId w:val="5"/>
        </w:numPr>
        <w:rPr>
          <w:i/>
          <w:iCs/>
        </w:rPr>
      </w:pPr>
      <w:r>
        <w:rPr>
          <w:b/>
        </w:rPr>
        <w:t>Logement</w:t>
      </w:r>
      <w:r>
        <w:rPr>
          <w:i/>
        </w:rPr>
        <w:t xml:space="preserve">                                       </w:t>
      </w:r>
    </w:p>
    <w:p w14:paraId="0A4F58A0" w14:textId="77777777" w:rsidR="00686B59" w:rsidRDefault="00686B59" w:rsidP="00BA1A3E">
      <w:pPr>
        <w:rPr>
          <w:i/>
          <w:iCs/>
          <w:lang w:val="en-CA"/>
        </w:rPr>
      </w:pPr>
    </w:p>
    <w:p w14:paraId="1AA6CD5A" w14:textId="01983031" w:rsidR="00BA1A3E" w:rsidRDefault="00BA1A3E" w:rsidP="00140800">
      <w:pPr>
        <w:ind w:firstLine="360"/>
        <w:rPr>
          <w:i/>
          <w:iCs/>
        </w:rPr>
      </w:pPr>
      <w:hyperlink r:id="rId23" w:history="1">
        <w:r>
          <w:rPr>
            <w:rStyle w:val="Hyperlink"/>
            <w:i/>
          </w:rPr>
          <w:t>Politique sur la discrimination en matière de logement locatif</w:t>
        </w:r>
      </w:hyperlink>
    </w:p>
    <w:p w14:paraId="56F20456" w14:textId="77777777" w:rsidR="002A767E" w:rsidRPr="00625D6D" w:rsidRDefault="002A767E" w:rsidP="00BA1A3E">
      <w:pPr>
        <w:rPr>
          <w:i/>
          <w:iCs/>
        </w:rPr>
      </w:pPr>
    </w:p>
    <w:p w14:paraId="33793867" w14:textId="78EBA837" w:rsidR="002A767E" w:rsidRPr="002A767E" w:rsidRDefault="002A767E" w:rsidP="002A767E">
      <w:pPr>
        <w:pStyle w:val="ListParagraph"/>
        <w:numPr>
          <w:ilvl w:val="0"/>
          <w:numId w:val="5"/>
        </w:numPr>
        <w:rPr>
          <w:b/>
          <w:bCs/>
        </w:rPr>
      </w:pPr>
      <w:r>
        <w:rPr>
          <w:b/>
        </w:rPr>
        <w:t>Éducation</w:t>
      </w:r>
    </w:p>
    <w:p w14:paraId="5B5F1E38" w14:textId="77777777" w:rsidR="002A767E" w:rsidRDefault="002A767E" w:rsidP="00BA1A3E">
      <w:pPr>
        <w:rPr>
          <w:b/>
          <w:bCs/>
          <w:lang w:val="en-CA"/>
        </w:rPr>
      </w:pPr>
    </w:p>
    <w:p w14:paraId="7374BDFE" w14:textId="73751278" w:rsidR="002A767E" w:rsidRPr="002A767E" w:rsidRDefault="002A767E" w:rsidP="00140800">
      <w:pPr>
        <w:ind w:firstLine="360"/>
        <w:rPr>
          <w:i/>
          <w:iCs/>
        </w:rPr>
      </w:pPr>
      <w:hyperlink r:id="rId24" w:history="1">
        <w:r>
          <w:rPr>
            <w:rStyle w:val="Hyperlink"/>
            <w:i/>
          </w:rPr>
          <w:t>Politique sur l’éducation accessible aux élèves handicapés</w:t>
        </w:r>
      </w:hyperlink>
    </w:p>
    <w:p w14:paraId="3D12B17E" w14:textId="77777777" w:rsidR="00686B59" w:rsidRPr="00625D6D" w:rsidRDefault="00686B59" w:rsidP="00BA1A3E">
      <w:pPr>
        <w:rPr>
          <w:b/>
          <w:bCs/>
        </w:rPr>
      </w:pPr>
    </w:p>
    <w:p w14:paraId="7858ECBE" w14:textId="6D5268B9" w:rsidR="00686B59" w:rsidRPr="002A767E" w:rsidRDefault="00BA1A3E" w:rsidP="002A767E">
      <w:pPr>
        <w:pStyle w:val="ListParagraph"/>
        <w:numPr>
          <w:ilvl w:val="0"/>
          <w:numId w:val="5"/>
        </w:numPr>
        <w:rPr>
          <w:i/>
          <w:iCs/>
        </w:rPr>
      </w:pPr>
      <w:r>
        <w:rPr>
          <w:b/>
        </w:rPr>
        <w:t>Autres politiques</w:t>
      </w:r>
      <w:r>
        <w:rPr>
          <w:i/>
        </w:rPr>
        <w:t>                              </w:t>
      </w:r>
    </w:p>
    <w:p w14:paraId="55586FC9" w14:textId="77777777" w:rsidR="00686B59" w:rsidRDefault="00686B59" w:rsidP="00BA1A3E">
      <w:pPr>
        <w:rPr>
          <w:i/>
          <w:iCs/>
          <w:lang w:val="en-CA"/>
        </w:rPr>
      </w:pPr>
    </w:p>
    <w:p w14:paraId="0A27D3E9" w14:textId="334F8B38" w:rsidR="00686B59" w:rsidRDefault="00BA1A3E" w:rsidP="00140800">
      <w:pPr>
        <w:ind w:firstLine="360"/>
      </w:pPr>
      <w:hyperlink r:id="rId25" w:history="1">
        <w:r>
          <w:rPr>
            <w:rStyle w:val="Hyperlink"/>
            <w:i/>
          </w:rPr>
          <w:t>Les droits de la personne au travail 2008 – Troisième édition</w:t>
        </w:r>
      </w:hyperlink>
      <w:r>
        <w:rPr>
          <w:i/>
        </w:rPr>
        <w:t xml:space="preserve"> </w:t>
      </w:r>
    </w:p>
    <w:p w14:paraId="4B7C9C83" w14:textId="77777777" w:rsidR="002A767E" w:rsidRPr="00625D6D" w:rsidRDefault="002A767E" w:rsidP="00BA1A3E">
      <w:pPr>
        <w:rPr>
          <w:i/>
          <w:iCs/>
        </w:rPr>
      </w:pPr>
    </w:p>
    <w:p w14:paraId="5D629F02" w14:textId="7E90D79A" w:rsidR="00BA1A3E" w:rsidRDefault="00BA1A3E" w:rsidP="00625D6D">
      <w:pPr>
        <w:ind w:left="360"/>
        <w:rPr>
          <w:i/>
          <w:iCs/>
        </w:rPr>
      </w:pPr>
      <w:hyperlink r:id="rId26" w:history="1">
        <w:r>
          <w:rPr>
            <w:rStyle w:val="Hyperlink"/>
            <w:i/>
          </w:rPr>
          <w:t>Position de la CODP relativement à la documentation à fournir pour accompagner une demande d’accommodement liée à un handicap</w:t>
        </w:r>
      </w:hyperlink>
      <w:r>
        <w:rPr>
          <w:i/>
        </w:rPr>
        <w:t xml:space="preserve"> </w:t>
      </w:r>
    </w:p>
    <w:p w14:paraId="58304142" w14:textId="77777777" w:rsidR="00E31B6E" w:rsidRPr="00BA1A3E" w:rsidRDefault="00E31B6E" w:rsidP="00140800">
      <w:pPr>
        <w:ind w:firstLine="360"/>
      </w:pPr>
    </w:p>
    <w:p w14:paraId="2B7AE931" w14:textId="77777777" w:rsidR="00BA1A3E" w:rsidRPr="00BA1A3E" w:rsidRDefault="00BA1A3E" w:rsidP="00BA1A3E">
      <w:r>
        <w:t> </w:t>
      </w:r>
    </w:p>
    <w:p w14:paraId="2550D1FF" w14:textId="53321F07" w:rsidR="00BA1A3E" w:rsidRPr="00E31B6E" w:rsidRDefault="008A1E7C" w:rsidP="008A1E7C">
      <w:pPr>
        <w:pStyle w:val="ListParagraph"/>
        <w:numPr>
          <w:ilvl w:val="0"/>
          <w:numId w:val="3"/>
        </w:numPr>
        <w:rPr>
          <w:u w:val="single"/>
        </w:rPr>
      </w:pPr>
      <w:r>
        <w:rPr>
          <w:b/>
          <w:u w:val="single"/>
        </w:rPr>
        <w:lastRenderedPageBreak/>
        <w:t>La possibilité de représailles</w:t>
      </w:r>
    </w:p>
    <w:p w14:paraId="2894EB45" w14:textId="77777777" w:rsidR="00BA1A3E" w:rsidRPr="00BA1A3E" w:rsidRDefault="00BA1A3E" w:rsidP="00BA1A3E">
      <w:r>
        <w:t> </w:t>
      </w:r>
    </w:p>
    <w:p w14:paraId="65CFB267" w14:textId="5F15F4A2" w:rsidR="002A767E" w:rsidRDefault="6EE3A6A9" w:rsidP="00140800">
      <w:pPr>
        <w:ind w:left="360"/>
      </w:pPr>
      <w:r>
        <w:t xml:space="preserve">Bien que l’affirmation de vos droits puisse être une façon efficace de résoudre un problème lié aux droits de la personne, elle peut parfois mener à une réaction négative ou à des actes visant à punir la personne, ou, pour reprendre les mots du </w:t>
      </w:r>
      <w:r>
        <w:rPr>
          <w:i/>
          <w:iCs/>
        </w:rPr>
        <w:t>Code</w:t>
      </w:r>
      <w:r>
        <w:t xml:space="preserve">, à des représailles. </w:t>
      </w:r>
    </w:p>
    <w:p w14:paraId="0C737BAD" w14:textId="77777777" w:rsidR="008E647A" w:rsidRPr="00625D6D" w:rsidRDefault="008E647A" w:rsidP="00BA1A3E"/>
    <w:p w14:paraId="6A82B8EC" w14:textId="3C71680E" w:rsidR="008E647A" w:rsidRDefault="6871FF79" w:rsidP="00140800">
      <w:pPr>
        <w:ind w:left="360"/>
      </w:pPr>
      <w:r>
        <w:t xml:space="preserve">Il arrive que certains employeurs, propriétaires d’immeuble, propriétaires de commerce, etc., réagissent négativement lorsqu’on leur dit qu’ils ont peut-être enfreint le </w:t>
      </w:r>
      <w:r>
        <w:rPr>
          <w:i/>
          <w:iCs/>
        </w:rPr>
        <w:t>Code</w:t>
      </w:r>
      <w:r>
        <w:t xml:space="preserve">. Ils peuvent tenter d’agir de manière à vous punir. Ils pourraient, par exemple, vous refuser l’accès à des services, tenter de vous évincer ou même mettre fin à votre emploi. </w:t>
      </w:r>
    </w:p>
    <w:p w14:paraId="05C27038" w14:textId="5A0B37D0" w:rsidR="008E647A" w:rsidRPr="00625D6D" w:rsidRDefault="008E647A" w:rsidP="337BE382"/>
    <w:p w14:paraId="3C605814" w14:textId="0FA44D8D" w:rsidR="00BA1A3E" w:rsidRDefault="003A637F" w:rsidP="00140800">
      <w:pPr>
        <w:ind w:left="360"/>
      </w:pPr>
      <w:r>
        <w:t xml:space="preserve">Il est important de se rappeler que les représailles pour avoir revendiqué vos droits en vertu du Code constituent également une violation de l’article 8 du Code et pourraient servir de fondement à une requête pour atteinte aux droits de la personne auprès du TDPO. </w:t>
      </w:r>
    </w:p>
    <w:p w14:paraId="70F8AFF7" w14:textId="77777777" w:rsidR="00E31B6E" w:rsidRPr="00625D6D" w:rsidRDefault="00E31B6E" w:rsidP="00DC4289"/>
    <w:sectPr w:rsidR="00E31B6E" w:rsidRPr="00625D6D">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C8A9" w14:textId="77777777" w:rsidR="00DC2173" w:rsidRDefault="00DC2173" w:rsidP="00BF3A3D">
      <w:pPr>
        <w:spacing w:line="240" w:lineRule="auto"/>
      </w:pPr>
      <w:r>
        <w:separator/>
      </w:r>
    </w:p>
  </w:endnote>
  <w:endnote w:type="continuationSeparator" w:id="0">
    <w:p w14:paraId="470713B5" w14:textId="77777777" w:rsidR="00DC2173" w:rsidRDefault="00DC2173" w:rsidP="00BF3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710927"/>
      <w:docPartObj>
        <w:docPartGallery w:val="Page Numbers (Bottom of Page)"/>
        <w:docPartUnique/>
      </w:docPartObj>
    </w:sdtPr>
    <w:sdtEndPr>
      <w:rPr>
        <w:noProof/>
      </w:rPr>
    </w:sdtEndPr>
    <w:sdtContent>
      <w:p w14:paraId="254D9EDB" w14:textId="408C1B91" w:rsidR="00BF3A3D" w:rsidRDefault="00BF3A3D">
        <w:pPr>
          <w:pStyle w:val="Footer"/>
          <w:jc w:val="right"/>
        </w:pPr>
        <w:r>
          <w:fldChar w:fldCharType="begin"/>
        </w:r>
        <w:r>
          <w:instrText xml:space="preserve"> PAGE   \* MERGEFORMAT </w:instrText>
        </w:r>
        <w:r>
          <w:fldChar w:fldCharType="separate"/>
        </w:r>
        <w:r>
          <w:t>2</w:t>
        </w:r>
        <w:r>
          <w:fldChar w:fldCharType="end"/>
        </w:r>
      </w:p>
    </w:sdtContent>
  </w:sdt>
  <w:p w14:paraId="600118A0" w14:textId="77777777" w:rsidR="00BF3A3D" w:rsidRDefault="00BF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42F1" w14:textId="77777777" w:rsidR="00DC2173" w:rsidRDefault="00DC2173" w:rsidP="00BF3A3D">
      <w:pPr>
        <w:spacing w:line="240" w:lineRule="auto"/>
      </w:pPr>
      <w:r>
        <w:separator/>
      </w:r>
    </w:p>
  </w:footnote>
  <w:footnote w:type="continuationSeparator" w:id="0">
    <w:p w14:paraId="75819742" w14:textId="77777777" w:rsidR="00DC2173" w:rsidRDefault="00DC2173" w:rsidP="00BF3A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149"/>
    <w:multiLevelType w:val="hybridMultilevel"/>
    <w:tmpl w:val="B0C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06765"/>
    <w:multiLevelType w:val="hybridMultilevel"/>
    <w:tmpl w:val="C88C47E0"/>
    <w:lvl w:ilvl="0" w:tplc="BB1A7D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50E7C"/>
    <w:multiLevelType w:val="hybridMultilevel"/>
    <w:tmpl w:val="566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12078"/>
    <w:multiLevelType w:val="hybridMultilevel"/>
    <w:tmpl w:val="F05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84900"/>
    <w:multiLevelType w:val="hybridMultilevel"/>
    <w:tmpl w:val="09381F40"/>
    <w:lvl w:ilvl="0" w:tplc="F830DE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D5F7B"/>
    <w:multiLevelType w:val="hybridMultilevel"/>
    <w:tmpl w:val="21A29740"/>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9798979">
    <w:abstractNumId w:val="3"/>
  </w:num>
  <w:num w:numId="2" w16cid:durableId="713849093">
    <w:abstractNumId w:val="0"/>
  </w:num>
  <w:num w:numId="3" w16cid:durableId="1252659069">
    <w:abstractNumId w:val="1"/>
  </w:num>
  <w:num w:numId="4" w16cid:durableId="1775780127">
    <w:abstractNumId w:val="4"/>
  </w:num>
  <w:num w:numId="5" w16cid:durableId="378937995">
    <w:abstractNumId w:val="2"/>
  </w:num>
  <w:num w:numId="6" w16cid:durableId="1090276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3E"/>
    <w:rsid w:val="00036BB3"/>
    <w:rsid w:val="0005288A"/>
    <w:rsid w:val="00075C6D"/>
    <w:rsid w:val="000E4E60"/>
    <w:rsid w:val="000F2751"/>
    <w:rsid w:val="00116FC6"/>
    <w:rsid w:val="00140800"/>
    <w:rsid w:val="00147A57"/>
    <w:rsid w:val="001A576B"/>
    <w:rsid w:val="001D3C98"/>
    <w:rsid w:val="002039D4"/>
    <w:rsid w:val="00252D27"/>
    <w:rsid w:val="00292A8A"/>
    <w:rsid w:val="002A767E"/>
    <w:rsid w:val="002B1BA2"/>
    <w:rsid w:val="002C6DA7"/>
    <w:rsid w:val="00381E2B"/>
    <w:rsid w:val="003A21D5"/>
    <w:rsid w:val="003A637F"/>
    <w:rsid w:val="00410288"/>
    <w:rsid w:val="0044638B"/>
    <w:rsid w:val="004B1DBC"/>
    <w:rsid w:val="004B2092"/>
    <w:rsid w:val="005140EA"/>
    <w:rsid w:val="005308E6"/>
    <w:rsid w:val="00540DDF"/>
    <w:rsid w:val="005567C5"/>
    <w:rsid w:val="00593B87"/>
    <w:rsid w:val="005C5BE9"/>
    <w:rsid w:val="00625D6D"/>
    <w:rsid w:val="00686B59"/>
    <w:rsid w:val="00696F6E"/>
    <w:rsid w:val="00741149"/>
    <w:rsid w:val="00742371"/>
    <w:rsid w:val="007803E3"/>
    <w:rsid w:val="007B56FB"/>
    <w:rsid w:val="0081212B"/>
    <w:rsid w:val="008A1E7C"/>
    <w:rsid w:val="008E647A"/>
    <w:rsid w:val="009114F0"/>
    <w:rsid w:val="00973D43"/>
    <w:rsid w:val="009E0CD4"/>
    <w:rsid w:val="00A05C0A"/>
    <w:rsid w:val="00A355E8"/>
    <w:rsid w:val="00A6635F"/>
    <w:rsid w:val="00A73C7D"/>
    <w:rsid w:val="00A80EDE"/>
    <w:rsid w:val="00A847E8"/>
    <w:rsid w:val="00AA3F9B"/>
    <w:rsid w:val="00B30DC8"/>
    <w:rsid w:val="00B40EA3"/>
    <w:rsid w:val="00B45B95"/>
    <w:rsid w:val="00B60C93"/>
    <w:rsid w:val="00B60E7C"/>
    <w:rsid w:val="00B91FE0"/>
    <w:rsid w:val="00B950D0"/>
    <w:rsid w:val="00BA1A3E"/>
    <w:rsid w:val="00BE4BB4"/>
    <w:rsid w:val="00BF3A3D"/>
    <w:rsid w:val="00C0077A"/>
    <w:rsid w:val="00C2141F"/>
    <w:rsid w:val="00C24E1A"/>
    <w:rsid w:val="00C41776"/>
    <w:rsid w:val="00C662B6"/>
    <w:rsid w:val="00CD6027"/>
    <w:rsid w:val="00D24175"/>
    <w:rsid w:val="00D249EC"/>
    <w:rsid w:val="00D50152"/>
    <w:rsid w:val="00D942A7"/>
    <w:rsid w:val="00DC2173"/>
    <w:rsid w:val="00DC4289"/>
    <w:rsid w:val="00DC4E53"/>
    <w:rsid w:val="00DF2C79"/>
    <w:rsid w:val="00E1585E"/>
    <w:rsid w:val="00E31B6E"/>
    <w:rsid w:val="00EA2C88"/>
    <w:rsid w:val="00EA4C83"/>
    <w:rsid w:val="00EF4B38"/>
    <w:rsid w:val="00F913D0"/>
    <w:rsid w:val="00FB2915"/>
    <w:rsid w:val="00FC6E67"/>
    <w:rsid w:val="02381891"/>
    <w:rsid w:val="0242D6F1"/>
    <w:rsid w:val="02A6812F"/>
    <w:rsid w:val="0469F23C"/>
    <w:rsid w:val="04833D27"/>
    <w:rsid w:val="057476EC"/>
    <w:rsid w:val="06F9E842"/>
    <w:rsid w:val="0736F362"/>
    <w:rsid w:val="086C8476"/>
    <w:rsid w:val="0A665543"/>
    <w:rsid w:val="0BB34C1D"/>
    <w:rsid w:val="0C237922"/>
    <w:rsid w:val="0C812D74"/>
    <w:rsid w:val="0DD7AB99"/>
    <w:rsid w:val="0E0B420C"/>
    <w:rsid w:val="0FEAA700"/>
    <w:rsid w:val="11B6BB17"/>
    <w:rsid w:val="14C3FB8F"/>
    <w:rsid w:val="199B2D41"/>
    <w:rsid w:val="19ABC2E8"/>
    <w:rsid w:val="19BF53FA"/>
    <w:rsid w:val="19CFE3C7"/>
    <w:rsid w:val="1A0029A9"/>
    <w:rsid w:val="1BC3FEB3"/>
    <w:rsid w:val="1CE0C1DF"/>
    <w:rsid w:val="1F807008"/>
    <w:rsid w:val="20FE434A"/>
    <w:rsid w:val="2259E387"/>
    <w:rsid w:val="249C5B4E"/>
    <w:rsid w:val="24B2F798"/>
    <w:rsid w:val="2600E96F"/>
    <w:rsid w:val="26824D58"/>
    <w:rsid w:val="2756EBA6"/>
    <w:rsid w:val="2DEAFEA8"/>
    <w:rsid w:val="2DF94E41"/>
    <w:rsid w:val="2E07DF45"/>
    <w:rsid w:val="2E4E0EA7"/>
    <w:rsid w:val="2E68E8A7"/>
    <w:rsid w:val="2F47CD70"/>
    <w:rsid w:val="2F867518"/>
    <w:rsid w:val="307929BD"/>
    <w:rsid w:val="30D87972"/>
    <w:rsid w:val="32022137"/>
    <w:rsid w:val="337BE382"/>
    <w:rsid w:val="341A4E84"/>
    <w:rsid w:val="37701878"/>
    <w:rsid w:val="37F5522A"/>
    <w:rsid w:val="3829AA35"/>
    <w:rsid w:val="391040A7"/>
    <w:rsid w:val="3ACA6778"/>
    <w:rsid w:val="3B40E2BF"/>
    <w:rsid w:val="3C44233E"/>
    <w:rsid w:val="3E0E3CC3"/>
    <w:rsid w:val="417E1CE2"/>
    <w:rsid w:val="424C6046"/>
    <w:rsid w:val="43218A13"/>
    <w:rsid w:val="4378ADB8"/>
    <w:rsid w:val="45923361"/>
    <w:rsid w:val="47F45E32"/>
    <w:rsid w:val="4AE42899"/>
    <w:rsid w:val="4C3C6885"/>
    <w:rsid w:val="4E012C8F"/>
    <w:rsid w:val="4E210786"/>
    <w:rsid w:val="4EB39586"/>
    <w:rsid w:val="4FEA341E"/>
    <w:rsid w:val="525A4B65"/>
    <w:rsid w:val="52941D55"/>
    <w:rsid w:val="5313EA0D"/>
    <w:rsid w:val="5346FDC2"/>
    <w:rsid w:val="54B86C89"/>
    <w:rsid w:val="55556AEA"/>
    <w:rsid w:val="5739B05F"/>
    <w:rsid w:val="57511324"/>
    <w:rsid w:val="57B79161"/>
    <w:rsid w:val="57E176D6"/>
    <w:rsid w:val="57FC19E5"/>
    <w:rsid w:val="5907A6D5"/>
    <w:rsid w:val="5A3408E8"/>
    <w:rsid w:val="5A85F904"/>
    <w:rsid w:val="5C321B13"/>
    <w:rsid w:val="5EF63381"/>
    <w:rsid w:val="617CEB94"/>
    <w:rsid w:val="61EEB6AA"/>
    <w:rsid w:val="63853E33"/>
    <w:rsid w:val="64AF8304"/>
    <w:rsid w:val="6531D21E"/>
    <w:rsid w:val="660463BA"/>
    <w:rsid w:val="66B13302"/>
    <w:rsid w:val="67D36AFE"/>
    <w:rsid w:val="68111E4D"/>
    <w:rsid w:val="6871FF79"/>
    <w:rsid w:val="689B6761"/>
    <w:rsid w:val="689CD517"/>
    <w:rsid w:val="68D84A55"/>
    <w:rsid w:val="6A55853A"/>
    <w:rsid w:val="6EE3A6A9"/>
    <w:rsid w:val="6F7EFC82"/>
    <w:rsid w:val="73BCE071"/>
    <w:rsid w:val="73DCE37E"/>
    <w:rsid w:val="765A0762"/>
    <w:rsid w:val="78160BFD"/>
    <w:rsid w:val="799779A3"/>
    <w:rsid w:val="7B7F6FB3"/>
    <w:rsid w:val="7BF9DE3B"/>
    <w:rsid w:val="7ED9DA12"/>
    <w:rsid w:val="7EFE36D2"/>
    <w:rsid w:val="7F093BE7"/>
    <w:rsid w:val="7F840955"/>
    <w:rsid w:val="7FFE8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1F30"/>
  <w15:chartTrackingRefBased/>
  <w15:docId w15:val="{AC1C520A-3500-487C-BEFC-3026D257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67"/>
  </w:style>
  <w:style w:type="paragraph" w:styleId="Heading1">
    <w:name w:val="heading 1"/>
    <w:basedOn w:val="Normal"/>
    <w:next w:val="Normal"/>
    <w:link w:val="Heading1Char"/>
    <w:uiPriority w:val="9"/>
    <w:qFormat/>
    <w:rsid w:val="00BA1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A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A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1A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1A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1A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1A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1A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A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A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1A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1A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1A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1A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1A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1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A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A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1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A3E"/>
    <w:rPr>
      <w:i/>
      <w:iCs/>
      <w:color w:val="404040" w:themeColor="text1" w:themeTint="BF"/>
    </w:rPr>
  </w:style>
  <w:style w:type="paragraph" w:styleId="ListParagraph">
    <w:name w:val="List Paragraph"/>
    <w:basedOn w:val="Normal"/>
    <w:uiPriority w:val="34"/>
    <w:qFormat/>
    <w:rsid w:val="00BA1A3E"/>
    <w:pPr>
      <w:ind w:left="720"/>
      <w:contextualSpacing/>
    </w:pPr>
  </w:style>
  <w:style w:type="character" w:styleId="IntenseEmphasis">
    <w:name w:val="Intense Emphasis"/>
    <w:basedOn w:val="DefaultParagraphFont"/>
    <w:uiPriority w:val="21"/>
    <w:qFormat/>
    <w:rsid w:val="00BA1A3E"/>
    <w:rPr>
      <w:i/>
      <w:iCs/>
      <w:color w:val="0F4761" w:themeColor="accent1" w:themeShade="BF"/>
    </w:rPr>
  </w:style>
  <w:style w:type="paragraph" w:styleId="IntenseQuote">
    <w:name w:val="Intense Quote"/>
    <w:basedOn w:val="Normal"/>
    <w:next w:val="Normal"/>
    <w:link w:val="IntenseQuoteChar"/>
    <w:uiPriority w:val="30"/>
    <w:qFormat/>
    <w:rsid w:val="00BA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A3E"/>
    <w:rPr>
      <w:i/>
      <w:iCs/>
      <w:color w:val="0F4761" w:themeColor="accent1" w:themeShade="BF"/>
    </w:rPr>
  </w:style>
  <w:style w:type="character" w:styleId="IntenseReference">
    <w:name w:val="Intense Reference"/>
    <w:basedOn w:val="DefaultParagraphFont"/>
    <w:uiPriority w:val="32"/>
    <w:qFormat/>
    <w:rsid w:val="00BA1A3E"/>
    <w:rPr>
      <w:b/>
      <w:bCs/>
      <w:smallCaps/>
      <w:color w:val="0F4761" w:themeColor="accent1" w:themeShade="BF"/>
      <w:spacing w:val="5"/>
    </w:rPr>
  </w:style>
  <w:style w:type="character" w:styleId="Hyperlink">
    <w:name w:val="Hyperlink"/>
    <w:basedOn w:val="DefaultParagraphFont"/>
    <w:uiPriority w:val="99"/>
    <w:unhideWhenUsed/>
    <w:rsid w:val="00C2141F"/>
    <w:rPr>
      <w:color w:val="467886" w:themeColor="hyperlink"/>
      <w:u w:val="single"/>
    </w:rPr>
  </w:style>
  <w:style w:type="character" w:styleId="UnresolvedMention">
    <w:name w:val="Unresolved Mention"/>
    <w:basedOn w:val="DefaultParagraphFont"/>
    <w:uiPriority w:val="99"/>
    <w:semiHidden/>
    <w:unhideWhenUsed/>
    <w:rsid w:val="00C2141F"/>
    <w:rPr>
      <w:color w:val="605E5C"/>
      <w:shd w:val="clear" w:color="auto" w:fill="E1DFDD"/>
    </w:rPr>
  </w:style>
  <w:style w:type="paragraph" w:styleId="Header">
    <w:name w:val="header"/>
    <w:basedOn w:val="Normal"/>
    <w:link w:val="HeaderChar"/>
    <w:uiPriority w:val="99"/>
    <w:unhideWhenUsed/>
    <w:rsid w:val="00BF3A3D"/>
    <w:pPr>
      <w:tabs>
        <w:tab w:val="center" w:pos="4680"/>
        <w:tab w:val="right" w:pos="9360"/>
      </w:tabs>
      <w:spacing w:line="240" w:lineRule="auto"/>
    </w:pPr>
  </w:style>
  <w:style w:type="character" w:customStyle="1" w:styleId="HeaderChar">
    <w:name w:val="Header Char"/>
    <w:basedOn w:val="DefaultParagraphFont"/>
    <w:link w:val="Header"/>
    <w:uiPriority w:val="99"/>
    <w:rsid w:val="00BF3A3D"/>
  </w:style>
  <w:style w:type="paragraph" w:styleId="Footer">
    <w:name w:val="footer"/>
    <w:basedOn w:val="Normal"/>
    <w:link w:val="FooterChar"/>
    <w:uiPriority w:val="99"/>
    <w:unhideWhenUsed/>
    <w:rsid w:val="00BF3A3D"/>
    <w:pPr>
      <w:tabs>
        <w:tab w:val="center" w:pos="4680"/>
        <w:tab w:val="right" w:pos="9360"/>
      </w:tabs>
      <w:spacing w:line="240" w:lineRule="auto"/>
    </w:pPr>
  </w:style>
  <w:style w:type="character" w:customStyle="1" w:styleId="FooterChar">
    <w:name w:val="Footer Char"/>
    <w:basedOn w:val="DefaultParagraphFont"/>
    <w:link w:val="Footer"/>
    <w:uiPriority w:val="99"/>
    <w:rsid w:val="00BF3A3D"/>
  </w:style>
  <w:style w:type="paragraph" w:styleId="Revision">
    <w:name w:val="Revision"/>
    <w:hidden/>
    <w:uiPriority w:val="99"/>
    <w:semiHidden/>
    <w:rsid w:val="000F2751"/>
    <w:pPr>
      <w:spacing w:line="240" w:lineRule="auto"/>
    </w:pPr>
  </w:style>
  <w:style w:type="character" w:styleId="CommentReference">
    <w:name w:val="annotation reference"/>
    <w:basedOn w:val="DefaultParagraphFont"/>
    <w:uiPriority w:val="99"/>
    <w:semiHidden/>
    <w:unhideWhenUsed/>
    <w:rsid w:val="00A847E8"/>
    <w:rPr>
      <w:sz w:val="16"/>
      <w:szCs w:val="16"/>
    </w:rPr>
  </w:style>
  <w:style w:type="paragraph" w:styleId="CommentText">
    <w:name w:val="annotation text"/>
    <w:basedOn w:val="Normal"/>
    <w:link w:val="CommentTextChar"/>
    <w:uiPriority w:val="99"/>
    <w:unhideWhenUsed/>
    <w:rsid w:val="00A847E8"/>
    <w:pPr>
      <w:spacing w:line="240" w:lineRule="auto"/>
    </w:pPr>
    <w:rPr>
      <w:sz w:val="20"/>
      <w:szCs w:val="20"/>
    </w:rPr>
  </w:style>
  <w:style w:type="character" w:customStyle="1" w:styleId="CommentTextChar">
    <w:name w:val="Comment Text Char"/>
    <w:basedOn w:val="DefaultParagraphFont"/>
    <w:link w:val="CommentText"/>
    <w:uiPriority w:val="99"/>
    <w:rsid w:val="00A847E8"/>
    <w:rPr>
      <w:sz w:val="20"/>
      <w:szCs w:val="20"/>
    </w:rPr>
  </w:style>
  <w:style w:type="paragraph" w:styleId="CommentSubject">
    <w:name w:val="annotation subject"/>
    <w:basedOn w:val="CommentText"/>
    <w:next w:val="CommentText"/>
    <w:link w:val="CommentSubjectChar"/>
    <w:uiPriority w:val="99"/>
    <w:semiHidden/>
    <w:unhideWhenUsed/>
    <w:rsid w:val="00A847E8"/>
    <w:rPr>
      <w:b/>
      <w:bCs/>
    </w:rPr>
  </w:style>
  <w:style w:type="character" w:customStyle="1" w:styleId="CommentSubjectChar">
    <w:name w:val="Comment Subject Char"/>
    <w:basedOn w:val="CommentTextChar"/>
    <w:link w:val="CommentSubject"/>
    <w:uiPriority w:val="99"/>
    <w:semiHidden/>
    <w:rsid w:val="00A847E8"/>
    <w:rPr>
      <w:b/>
      <w:bCs/>
      <w:sz w:val="20"/>
      <w:szCs w:val="20"/>
    </w:rPr>
  </w:style>
  <w:style w:type="character" w:styleId="FollowedHyperlink">
    <w:name w:val="FollowedHyperlink"/>
    <w:basedOn w:val="DefaultParagraphFont"/>
    <w:uiPriority w:val="99"/>
    <w:semiHidden/>
    <w:unhideWhenUsed/>
    <w:rsid w:val="003A637F"/>
    <w:rPr>
      <w:color w:val="96607D" w:themeColor="followedHyperlink"/>
      <w:u w:val="single"/>
    </w:rPr>
  </w:style>
  <w:style w:type="paragraph" w:styleId="FootnoteText">
    <w:name w:val="footnote text"/>
    <w:basedOn w:val="Normal"/>
    <w:uiPriority w:val="99"/>
    <w:semiHidden/>
    <w:unhideWhenUsed/>
    <w:rsid w:val="57B79161"/>
    <w:pPr>
      <w:spacing w:line="240" w:lineRule="auto"/>
    </w:pPr>
    <w:rPr>
      <w:sz w:val="20"/>
      <w:szCs w:val="20"/>
    </w:rPr>
  </w:style>
  <w:style w:type="character" w:styleId="FootnoteReference">
    <w:name w:val="footnote reference"/>
    <w:basedOn w:val="DefaultParagraphFont"/>
    <w:uiPriority w:val="99"/>
    <w:semiHidden/>
    <w:unhideWhenUsed/>
    <w:rsid w:val="57B79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ohrc.on.ca/fr/politique-sur-le-capacitisme-et-la-discrimination-fondee-sur-le-handicap" TargetMode="External"/><Relationship Id="rId18" Type="http://schemas.openxmlformats.org/officeDocument/2006/relationships/hyperlink" Target="https://www3.ohrc.on.ca/fr/politique-sur-la-suppression-des-obstacles-lies-l-experience-canadienne" TargetMode="External"/><Relationship Id="rId26" Type="http://schemas.openxmlformats.org/officeDocument/2006/relationships/hyperlink" Target="https://www3.ohrc.on.ca/fr/position-de-la-codp-relativement-la-documentation-fournir-pour-accompagner-une-demande" TargetMode="External"/><Relationship Id="rId3" Type="http://schemas.openxmlformats.org/officeDocument/2006/relationships/customXml" Target="../customXml/item3.xml"/><Relationship Id="rId21" Type="http://schemas.openxmlformats.org/officeDocument/2006/relationships/hyperlink" Target="https://www3.ohrc.on.ca/fr/politique-sur-la-prevention-de-la-discrimination-fondee-sur-la-grossesse-et-lallaitement" TargetMode="External"/><Relationship Id="rId7" Type="http://schemas.openxmlformats.org/officeDocument/2006/relationships/webSettings" Target="webSettings.xml"/><Relationship Id="rId12" Type="http://schemas.openxmlformats.org/officeDocument/2006/relationships/hyperlink" Target="https://www3.ohrc.on.ca/fr/politique-de-prevention-de-la-discrimination-fondee-sur-la-croyance" TargetMode="External"/><Relationship Id="rId17" Type="http://schemas.openxmlformats.org/officeDocument/2006/relationships/hyperlink" Target="https://www3.ohrc.on.ca/fr/politique-et-directives-sur-le-racisme-et-la-discrimination-raciale" TargetMode="External"/><Relationship Id="rId25" Type="http://schemas.openxmlformats.org/officeDocument/2006/relationships/hyperlink" Target="https://www3.ohrc.on.ca/fr/les-droits-de-la-personne-au-travail-2008-troisieme-edition" TargetMode="External"/><Relationship Id="rId2" Type="http://schemas.openxmlformats.org/officeDocument/2006/relationships/customXml" Target="../customXml/item2.xml"/><Relationship Id="rId16" Type="http://schemas.openxmlformats.org/officeDocument/2006/relationships/hyperlink" Target="https://www3.ohrc.on.ca/fr/politique-sur-la-prevention-de-la-discrimination-fondee-sur-lidentite-sexuelle-et-lexpression-de" TargetMode="External"/><Relationship Id="rId20" Type="http://schemas.openxmlformats.org/officeDocument/2006/relationships/hyperlink" Target="https://www3.ohrc.on.ca/fr/politique-sur-la-prevention-du-harcelement-sexuel-et-du-harcelement-fonde-sur-le-sex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ohrc.on.ca/fr/politique-sur-la-discrimination-fondee-sur-lage-lendroit-des-personne-agees" TargetMode="External"/><Relationship Id="rId24" Type="http://schemas.openxmlformats.org/officeDocument/2006/relationships/hyperlink" Target="https://www3.ohrc.on.ca/fr/politique-sur-leducation-accessible-aux-eleves-handicapes" TargetMode="External"/><Relationship Id="rId5" Type="http://schemas.openxmlformats.org/officeDocument/2006/relationships/styles" Target="styles.xml"/><Relationship Id="rId15" Type="http://schemas.openxmlformats.org/officeDocument/2006/relationships/hyperlink" Target="https://www3.ohrc.on.ca/fr/politique-et-directives-concernant-la-discrimination-au-motif-de-letat-familial" TargetMode="External"/><Relationship Id="rId23" Type="http://schemas.openxmlformats.org/officeDocument/2006/relationships/hyperlink" Target="https://www3.ohrc.on.ca/fr/la-politique-sur-la-discrimination-en-matiere-de-logement-locatif" TargetMode="External"/><Relationship Id="rId28" Type="http://schemas.openxmlformats.org/officeDocument/2006/relationships/fontTable" Target="fontTable.xml"/><Relationship Id="rId10" Type="http://schemas.openxmlformats.org/officeDocument/2006/relationships/hyperlink" Target="https://www3.ohrc.on.ca/fr/position-de-la-codp-relativement-la-documentation-fournir-pour-accompagner-une-demande" TargetMode="External"/><Relationship Id="rId19" Type="http://schemas.openxmlformats.org/officeDocument/2006/relationships/hyperlink" Target="https://www3.ohrc.on.ca/fr/enonce-de-politique-concernant-les-francophones-la-langue-et-la-discrim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ohrc.on.ca/fr/politique-sur-la-prevention-de-la-discrimination-fondee-sur-les-troubles-mentaux-et-les-0" TargetMode="External"/><Relationship Id="rId22" Type="http://schemas.openxmlformats.org/officeDocument/2006/relationships/hyperlink" Target="https://www3.ohrc.on.ca/fr/politique-concernant-la-discrimination-et-le-harcelement-fondes-sur-lorientation-sexuell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22824798A6740ACAB909C0E96ECF3" ma:contentTypeVersion="8" ma:contentTypeDescription="Create a new document." ma:contentTypeScope="" ma:versionID="ef2996c0781378e5f7f6f57ca9b92760">
  <xsd:schema xmlns:xsd="http://www.w3.org/2001/XMLSchema" xmlns:xs="http://www.w3.org/2001/XMLSchema" xmlns:p="http://schemas.microsoft.com/office/2006/metadata/properties" xmlns:ns2="de500f93-ada7-4f95-be4f-5c0d8bff36d0" targetNamespace="http://schemas.microsoft.com/office/2006/metadata/properties" ma:root="true" ma:fieldsID="e36dae2338778f7ebee2120e26dbd9fd" ns2:_="">
    <xsd:import namespace="de500f93-ada7-4f95-be4f-5c0d8bff36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0f93-ada7-4f95-be4f-5c0d8bff3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0612B-355F-474E-BC95-A018CF6F9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B5644-8A42-4154-8941-95E0E5411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00f93-ada7-4f95-be4f-5c0d8bff3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23E6C-D4DC-42AC-ABAC-062E785B6D83}">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Ursel, Andrew (HRLSC)</cp:lastModifiedBy>
  <cp:revision>3</cp:revision>
  <dcterms:created xsi:type="dcterms:W3CDTF">2026-05-14T19:51:00Z</dcterms:created>
  <dcterms:modified xsi:type="dcterms:W3CDTF">2026-05-14T19:51:00Z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0x01010058F22824798A6740ACAB909C0E96ECF3</vt:lpwstr>
  </property>
  <property fmtid="{D5CDD505-2E9C-101B-9397-08002B2CF9AE}" pid="3" name="Order">
    <vt:r8>296000</vt:r8>
  </property>
</Properties>
</file>